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ind w:left="96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6019165</wp:posOffset>
            </wp:positionH>
            <wp:positionV relativeFrom="page">
              <wp:posOffset>401955</wp:posOffset>
            </wp:positionV>
            <wp:extent cx="1397635" cy="8661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97635" cy="866140"/>
                    </a:xfrm>
                    <a:prstGeom prst="rect">
                      <a:avLst/>
                    </a:prstGeom>
                    <a:noFill/>
                  </pic:spPr>
                </pic:pic>
              </a:graphicData>
            </a:graphic>
          </wp:anchor>
        </w:drawing>
        <w:t>OMB APPROVAL</w:t>
      </w:r>
    </w:p>
    <w:p>
      <w:pPr>
        <w:ind w:left="9260"/>
        <w:spacing w:after="0"/>
        <w:rPr>
          <w:sz w:val="20"/>
          <w:szCs w:val="20"/>
          <w:color w:val="auto"/>
        </w:rPr>
      </w:pPr>
      <w:r>
        <w:rPr>
          <w:sz w:val="1"/>
          <w:szCs w:val="1"/>
          <w:color w:val="auto"/>
        </w:rPr>
        <w:drawing>
          <wp:inline distT="0" distB="0" distL="0" distR="0">
            <wp:extent cx="34290" cy="18097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4290" cy="180975"/>
                    </a:xfrm>
                    <a:prstGeom prst="rect">
                      <a:avLst/>
                    </a:prstGeom>
                    <a:noFill/>
                    <a:ln>
                      <a:noFill/>
                    </a:ln>
                  </pic:spPr>
                </pic:pic>
              </a:graphicData>
            </a:graphic>
          </wp:inline>
        </w:drawing>
      </w:r>
      <w:r>
        <w:rPr>
          <w:rFonts w:ascii="Arial" w:cs="Arial" w:eastAsia="Arial" w:hAnsi="Arial"/>
          <w:sz w:val="16"/>
          <w:szCs w:val="16"/>
          <w:color w:val="auto"/>
        </w:rPr>
        <w:t>OMB Number: 3235-0145</w:t>
      </w:r>
    </w:p>
    <w:p>
      <w:pPr>
        <w:spacing w:after="0" w:line="16" w:lineRule="exact"/>
        <w:rPr>
          <w:sz w:val="20"/>
          <w:szCs w:val="20"/>
          <w:color w:val="auto"/>
        </w:rPr>
      </w:pPr>
    </w:p>
    <w:p>
      <w:pPr>
        <w:ind w:left="9300"/>
        <w:spacing w:after="0"/>
        <w:rPr>
          <w:sz w:val="20"/>
          <w:szCs w:val="20"/>
          <w:color w:val="auto"/>
        </w:rPr>
      </w:pPr>
      <w:r>
        <w:rPr>
          <w:rFonts w:ascii="Arial" w:cs="Arial" w:eastAsia="Arial" w:hAnsi="Arial"/>
          <w:sz w:val="15"/>
          <w:szCs w:val="15"/>
          <w:color w:val="auto"/>
        </w:rPr>
        <w:t>Expires: December 31, 2005</w:t>
      </w:r>
    </w:p>
    <w:p>
      <w:pPr>
        <w:spacing w:after="0" w:line="96" w:lineRule="exact"/>
        <w:rPr>
          <w:sz w:val="20"/>
          <w:szCs w:val="20"/>
          <w:color w:val="auto"/>
        </w:rPr>
      </w:pPr>
    </w:p>
    <w:p>
      <w:pPr>
        <w:ind w:left="9300"/>
        <w:spacing w:after="0"/>
        <w:rPr>
          <w:sz w:val="20"/>
          <w:szCs w:val="20"/>
          <w:color w:val="auto"/>
        </w:rPr>
      </w:pPr>
      <w:r>
        <w:rPr>
          <w:rFonts w:ascii="Arial" w:cs="Arial" w:eastAsia="Arial" w:hAnsi="Arial"/>
          <w:sz w:val="16"/>
          <w:szCs w:val="16"/>
          <w:color w:val="auto"/>
        </w:rPr>
        <w:t>Estimated average burden</w:t>
      </w:r>
    </w:p>
    <w:p>
      <w:pPr>
        <w:spacing w:after="0" w:line="38" w:lineRule="exact"/>
        <w:rPr>
          <w:sz w:val="20"/>
          <w:szCs w:val="20"/>
          <w:color w:val="auto"/>
        </w:rPr>
      </w:pPr>
    </w:p>
    <w:p>
      <w:pPr>
        <w:ind w:left="9300"/>
        <w:spacing w:after="0"/>
        <w:rPr>
          <w:sz w:val="20"/>
          <w:szCs w:val="20"/>
          <w:color w:val="auto"/>
        </w:rPr>
      </w:pPr>
      <w:r>
        <w:rPr>
          <w:rFonts w:ascii="Arial" w:cs="Arial" w:eastAsia="Arial" w:hAnsi="Arial"/>
          <w:sz w:val="18"/>
          <w:szCs w:val="18"/>
          <w:color w:val="auto"/>
        </w:rPr>
        <w:t>hours per response...11</w:t>
      </w:r>
    </w:p>
    <w:p>
      <w:pPr>
        <w:spacing w:after="0" w:line="200" w:lineRule="exact"/>
        <w:rPr>
          <w:sz w:val="20"/>
          <w:szCs w:val="20"/>
          <w:color w:val="auto"/>
        </w:rPr>
      </w:pPr>
    </w:p>
    <w:p>
      <w:pPr>
        <w:spacing w:after="0" w:line="290" w:lineRule="exact"/>
        <w:rPr>
          <w:sz w:val="20"/>
          <w:szCs w:val="20"/>
          <w:color w:val="auto"/>
        </w:rPr>
      </w:pPr>
    </w:p>
    <w:p>
      <w:pPr>
        <w:jc w:val="center"/>
        <w:ind w:right="-119"/>
        <w:spacing w:after="0"/>
        <w:rPr>
          <w:sz w:val="20"/>
          <w:szCs w:val="20"/>
          <w:color w:val="auto"/>
        </w:rPr>
      </w:pPr>
      <w:r>
        <w:rPr>
          <w:rFonts w:ascii="Arial" w:cs="Arial" w:eastAsia="Arial" w:hAnsi="Arial"/>
          <w:sz w:val="24"/>
          <w:szCs w:val="24"/>
          <w:color w:val="auto"/>
        </w:rPr>
        <w:t>UNITED STATES</w:t>
      </w:r>
    </w:p>
    <w:p>
      <w:pPr>
        <w:spacing w:after="0" w:line="28" w:lineRule="exact"/>
        <w:rPr>
          <w:sz w:val="20"/>
          <w:szCs w:val="20"/>
          <w:color w:val="auto"/>
        </w:rPr>
      </w:pPr>
    </w:p>
    <w:p>
      <w:pPr>
        <w:jc w:val="center"/>
        <w:ind w:right="-119"/>
        <w:spacing w:after="0"/>
        <w:rPr>
          <w:sz w:val="20"/>
          <w:szCs w:val="20"/>
          <w:color w:val="auto"/>
        </w:rPr>
      </w:pPr>
      <w:r>
        <w:rPr>
          <w:rFonts w:ascii="Arial" w:cs="Arial" w:eastAsia="Arial" w:hAnsi="Arial"/>
          <w:sz w:val="24"/>
          <w:szCs w:val="24"/>
          <w:color w:val="auto"/>
        </w:rPr>
        <w:t>SECURITIES AND EXCHANGE COMMISSION</w:t>
      </w:r>
    </w:p>
    <w:p>
      <w:pPr>
        <w:spacing w:after="0" w:line="5"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Washington, D.C. 20549</w:t>
      </w:r>
    </w:p>
    <w:p>
      <w:pPr>
        <w:spacing w:after="0" w:line="176" w:lineRule="exact"/>
        <w:rPr>
          <w:sz w:val="20"/>
          <w:szCs w:val="20"/>
          <w:color w:val="auto"/>
        </w:rPr>
      </w:pPr>
    </w:p>
    <w:p>
      <w:pPr>
        <w:jc w:val="center"/>
        <w:ind w:right="-119"/>
        <w:spacing w:after="0"/>
        <w:rPr>
          <w:sz w:val="20"/>
          <w:szCs w:val="20"/>
          <w:color w:val="auto"/>
        </w:rPr>
      </w:pPr>
      <w:r>
        <w:rPr>
          <w:rFonts w:ascii="Arial" w:cs="Arial" w:eastAsia="Arial" w:hAnsi="Arial"/>
          <w:sz w:val="32"/>
          <w:szCs w:val="32"/>
          <w:color w:val="auto"/>
        </w:rPr>
        <w:t>SCHEDULE 13G</w:t>
      </w:r>
    </w:p>
    <w:p>
      <w:pPr>
        <w:spacing w:after="0" w:line="23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Under the Securities Exchange Act of 1934</w:t>
      </w:r>
    </w:p>
    <w:p>
      <w:pPr>
        <w:spacing w:after="0" w:line="1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(Amendment No. 2)*</w:t>
      </w:r>
    </w:p>
    <w:p>
      <w:pPr>
        <w:spacing w:after="0" w:line="2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Calavo Growers,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(Name of Issuer)</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(Title of Class of Securities)</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128246 10 5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(Cusip Number)</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December 31,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27" w:lineRule="exact"/>
        <w:rPr>
          <w:sz w:val="20"/>
          <w:szCs w:val="20"/>
          <w:color w:val="auto"/>
        </w:rPr>
      </w:pPr>
    </w:p>
    <w:p>
      <w:pPr>
        <w:ind w:left="3720"/>
        <w:spacing w:after="0"/>
        <w:rPr>
          <w:sz w:val="20"/>
          <w:szCs w:val="20"/>
          <w:color w:val="auto"/>
        </w:rPr>
      </w:pPr>
      <w:r>
        <w:rPr>
          <w:rFonts w:ascii="Arial" w:cs="Arial" w:eastAsia="Arial" w:hAnsi="Arial"/>
          <w:sz w:val="18"/>
          <w:szCs w:val="18"/>
          <w:color w:val="auto"/>
        </w:rPr>
        <w:t>(Date of Event Which Requires Filing of this Statement)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12" w:lineRule="exact"/>
        <w:rPr>
          <w:sz w:val="20"/>
          <w:szCs w:val="20"/>
          <w:color w:val="auto"/>
        </w:rPr>
      </w:pPr>
    </w:p>
    <w:p>
      <w:pPr>
        <w:ind w:left="360"/>
        <w:spacing w:after="0"/>
        <w:rPr>
          <w:sz w:val="20"/>
          <w:szCs w:val="20"/>
          <w:color w:val="auto"/>
        </w:rPr>
      </w:pPr>
      <w:r>
        <w:rPr>
          <w:rFonts w:ascii="Arial" w:cs="Arial" w:eastAsia="Arial" w:hAnsi="Arial"/>
          <w:sz w:val="22"/>
          <w:szCs w:val="22"/>
          <w:color w:val="auto"/>
        </w:rPr>
        <w:t xml:space="preserve">o </w:t>
      </w:r>
      <w:r>
        <w:rPr>
          <w:rFonts w:ascii="Arial" w:cs="Arial" w:eastAsia="Arial" w:hAnsi="Arial"/>
          <w:sz w:val="17"/>
          <w:szCs w:val="17"/>
          <w:color w:val="auto"/>
        </w:rPr>
        <w:t>Rule 13d-1 (b)</w:t>
      </w:r>
    </w:p>
    <w:p>
      <w:pPr>
        <w:spacing w:after="0" w:line="255" w:lineRule="exact"/>
        <w:rPr>
          <w:sz w:val="20"/>
          <w:szCs w:val="20"/>
          <w:color w:val="auto"/>
        </w:rPr>
      </w:pPr>
    </w:p>
    <w:p>
      <w:pPr>
        <w:ind w:left="600" w:hanging="241"/>
        <w:spacing w:after="0"/>
        <w:tabs>
          <w:tab w:leader="none" w:pos="600"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Rule 13d-1 (c)</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22"/>
          <w:szCs w:val="22"/>
          <w:color w:val="auto"/>
        </w:rPr>
        <w:t xml:space="preserve">o </w:t>
      </w:r>
      <w:r>
        <w:rPr>
          <w:rFonts w:ascii="Arial" w:cs="Arial" w:eastAsia="Arial" w:hAnsi="Arial"/>
          <w:sz w:val="17"/>
          <w:szCs w:val="17"/>
          <w:color w:val="auto"/>
        </w:rPr>
        <w:t>Rule 13d-1 (d)</w:t>
      </w:r>
    </w:p>
    <w:p>
      <w:pPr>
        <w:spacing w:after="0" w:line="219"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6" w:lineRule="exact"/>
        <w:rPr>
          <w:sz w:val="20"/>
          <w:szCs w:val="20"/>
          <w:color w:val="auto"/>
        </w:rPr>
      </w:pPr>
    </w:p>
    <w:p>
      <w:pPr>
        <w:ind w:right="180"/>
        <w:spacing w:after="0" w:line="332"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or otherwise subject to the liabilities of that section of the Act but shall be subject to all other provisions of the Act (however, see the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366395</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685" w:right="359" w:bottom="1440" w:gutter="0" w:footer="0" w:header="0"/>
        </w:sectPr>
      </w:pPr>
    </w:p>
    <w:bookmarkStart w:id="2" w:name="page3"/>
    <w:bookmarkEnd w:id="2"/>
    <w:p>
      <w:pPr>
        <w:jc w:val="center"/>
        <w:spacing w:after="0"/>
        <w:rPr>
          <w:sz w:val="20"/>
          <w:szCs w:val="20"/>
          <w:color w:val="auto"/>
        </w:rPr>
      </w:pPr>
      <w:r>
        <w:rPr>
          <w:rFonts w:ascii="Arial" w:cs="Arial" w:eastAsia="Arial" w:hAnsi="Arial"/>
          <w:sz w:val="15"/>
          <w:szCs w:val="15"/>
          <w:color w:val="auto"/>
        </w:rPr>
        <w:t>13G</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color w:val="auto"/>
        </w:rPr>
        <w:t>CUSIP No. 128246 10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146050</wp:posOffset>
            </wp:positionV>
            <wp:extent cx="718185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81850" cy="21590"/>
                    </a:xfrm>
                    <a:prstGeom prst="rect">
                      <a:avLst/>
                    </a:prstGeom>
                    <a:noFill/>
                  </pic:spPr>
                </pic:pic>
              </a:graphicData>
            </a:graphic>
          </wp:anchor>
        </w:drawing>
      </w:r>
    </w:p>
    <w:p>
      <w:pPr>
        <w:sectPr>
          <w:pgSz w:w="11900" w:h="16838" w:orient="portrait"/>
          <w:cols w:equalWidth="0" w:num="1">
            <w:col w:w="11300"/>
          </w:cols>
          <w:pgMar w:left="300" w:top="1320" w:right="29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ind w:left="460"/>
        <w:spacing w:after="0"/>
        <w:tabs>
          <w:tab w:leader="none" w:pos="800" w:val="left"/>
        </w:tabs>
        <w:rPr>
          <w:sz w:val="20"/>
          <w:szCs w:val="20"/>
          <w:color w:val="auto"/>
        </w:rPr>
      </w:pPr>
      <w:r>
        <w:rPr>
          <w:rFonts w:ascii="Arial" w:cs="Arial" w:eastAsia="Arial" w:hAnsi="Arial"/>
          <w:sz w:val="15"/>
          <w:szCs w:val="15"/>
          <w:color w:val="auto"/>
        </w:rPr>
        <w:t>1.</w:t>
        <w:tab/>
        <w:t>Name of Reporting Person:</w:t>
      </w:r>
    </w:p>
    <w:p>
      <w:pPr>
        <w:spacing w:after="0" w:line="50" w:lineRule="exact"/>
        <w:rPr>
          <w:sz w:val="20"/>
          <w:szCs w:val="20"/>
          <w:color w:val="auto"/>
        </w:rPr>
      </w:pPr>
    </w:p>
    <w:p>
      <w:pPr>
        <w:ind w:left="820"/>
        <w:spacing w:after="0"/>
        <w:rPr>
          <w:sz w:val="20"/>
          <w:szCs w:val="20"/>
          <w:color w:val="auto"/>
        </w:rPr>
      </w:pPr>
      <w:r>
        <w:rPr>
          <w:rFonts w:ascii="Arial" w:cs="Arial" w:eastAsia="Arial" w:hAnsi="Arial"/>
          <w:sz w:val="18"/>
          <w:szCs w:val="18"/>
          <w:color w:val="auto"/>
        </w:rPr>
        <w:t>Lecil E. Cole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I.R.S. Identification Nos. of above persons (entities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-2971800</wp:posOffset>
            </wp:positionH>
            <wp:positionV relativeFrom="paragraph">
              <wp:posOffset>297815</wp:posOffset>
            </wp:positionV>
            <wp:extent cx="718185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81850" cy="21590"/>
                    </a:xfrm>
                    <a:prstGeom prst="rect">
                      <a:avLst/>
                    </a:prstGeom>
                    <a:noFill/>
                  </pic:spPr>
                </pic:pic>
              </a:graphicData>
            </a:graphic>
          </wp:anchor>
        </w:drawing>
      </w:r>
    </w:p>
    <w:p>
      <w:pPr>
        <w:spacing w:after="0" w:line="445" w:lineRule="exact"/>
        <w:rPr>
          <w:sz w:val="20"/>
          <w:szCs w:val="20"/>
          <w:color w:val="auto"/>
        </w:rPr>
      </w:pPr>
    </w:p>
    <w:p>
      <w:pPr>
        <w:sectPr>
          <w:pgSz w:w="11900" w:h="16838" w:orient="portrait"/>
          <w:cols w:equalWidth="0" w:num="2">
            <w:col w:w="3960" w:space="720"/>
            <w:col w:w="6620"/>
          </w:cols>
          <w:pgMar w:left="300" w:top="1320" w:right="299" w:bottom="1440" w:gutter="0" w:footer="0" w:header="0"/>
          <w:type w:val="continuous"/>
        </w:sectPr>
      </w:pPr>
    </w:p>
    <w:p>
      <w:pPr>
        <w:spacing w:after="0" w:line="262" w:lineRule="exact"/>
        <w:rPr>
          <w:sz w:val="20"/>
          <w:szCs w:val="20"/>
          <w:color w:val="auto"/>
        </w:rPr>
      </w:pPr>
    </w:p>
    <w:p>
      <w:pPr>
        <w:ind w:left="820" w:hanging="359"/>
        <w:spacing w:after="0"/>
        <w:tabs>
          <w:tab w:leader="none" w:pos="82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 N/A</w:t>
      </w:r>
    </w:p>
    <w:p>
      <w:pPr>
        <w:spacing w:after="0" w:line="104" w:lineRule="exact"/>
        <w:rPr>
          <w:rFonts w:ascii="Arial" w:cs="Arial" w:eastAsia="Arial" w:hAnsi="Arial"/>
          <w:sz w:val="18"/>
          <w:szCs w:val="18"/>
          <w:color w:val="auto"/>
        </w:rPr>
      </w:pPr>
    </w:p>
    <w:p>
      <w:pPr>
        <w:ind w:left="1160" w:hanging="348"/>
        <w:spacing w:after="0"/>
        <w:tabs>
          <w:tab w:leader="none" w:pos="1160" w:val="left"/>
        </w:tabs>
        <w:numPr>
          <w:ilvl w:val="1"/>
          <w:numId w:val="2"/>
        </w:numPr>
        <w:rPr>
          <w:rFonts w:ascii="Arial" w:cs="Arial" w:eastAsia="Arial" w:hAnsi="Arial"/>
          <w:sz w:val="18"/>
          <w:szCs w:val="18"/>
          <w:color w:val="auto"/>
        </w:rPr>
      </w:pPr>
      <w:r>
        <w:rPr>
          <w:rFonts w:ascii="Arial" w:cs="Arial" w:eastAsia="Arial" w:hAnsi="Arial"/>
          <w:sz w:val="22"/>
          <w:szCs w:val="22"/>
          <w:color w:val="auto"/>
        </w:rPr>
        <w:t>o</w:t>
      </w:r>
    </w:p>
    <w:p>
      <w:pPr>
        <w:spacing w:after="0" w:line="98" w:lineRule="exact"/>
        <w:rPr>
          <w:rFonts w:ascii="Arial" w:cs="Arial" w:eastAsia="Arial" w:hAnsi="Arial"/>
          <w:sz w:val="18"/>
          <w:szCs w:val="18"/>
          <w:color w:val="auto"/>
        </w:rPr>
      </w:pPr>
    </w:p>
    <w:p>
      <w:pPr>
        <w:ind w:left="1160" w:hanging="348"/>
        <w:spacing w:after="0"/>
        <w:tabs>
          <w:tab w:leader="none" w:pos="1160" w:val="left"/>
        </w:tabs>
        <w:numPr>
          <w:ilvl w:val="1"/>
          <w:numId w:val="2"/>
        </w:numPr>
        <w:rPr>
          <w:rFonts w:ascii="Arial" w:cs="Arial" w:eastAsia="Arial" w:hAnsi="Arial"/>
          <w:sz w:val="18"/>
          <w:szCs w:val="18"/>
          <w:color w:val="auto"/>
        </w:rPr>
      </w:pPr>
      <w:r>
        <w:rPr>
          <w:rFonts w:ascii="Arial" w:cs="Arial" w:eastAsia="Arial" w:hAnsi="Arial"/>
          <w:sz w:val="22"/>
          <w:szCs w:val="22"/>
          <w:color w:val="auto"/>
        </w:rPr>
        <w:t>o</w:t>
      </w:r>
    </w:p>
    <w:p>
      <w:pPr>
        <w:spacing w:after="0" w:line="200" w:lineRule="exact"/>
        <w:rPr>
          <w:rFonts w:ascii="Arial" w:cs="Arial" w:eastAsia="Arial" w:hAnsi="Arial"/>
          <w:sz w:val="18"/>
          <w:szCs w:val="18"/>
          <w:color w:val="auto"/>
        </w:rPr>
      </w:pPr>
    </w:p>
    <w:p>
      <w:pPr>
        <w:spacing w:after="0" w:line="262" w:lineRule="exact"/>
        <w:rPr>
          <w:rFonts w:ascii="Arial" w:cs="Arial" w:eastAsia="Arial" w:hAnsi="Arial"/>
          <w:sz w:val="18"/>
          <w:szCs w:val="18"/>
          <w:color w:val="auto"/>
        </w:rPr>
      </w:pPr>
    </w:p>
    <w:p>
      <w:pPr>
        <w:ind w:left="820" w:hanging="359"/>
        <w:spacing w:after="0"/>
        <w:tabs>
          <w:tab w:leader="none" w:pos="820" w:val="left"/>
        </w:tabs>
        <w:numPr>
          <w:ilvl w:val="0"/>
          <w:numId w:val="2"/>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820" w:right="7880" w:hanging="359"/>
        <w:spacing w:after="0" w:line="268" w:lineRule="auto"/>
        <w:tabs>
          <w:tab w:leader="none" w:pos="820" w:val="left"/>
        </w:tabs>
        <w:numPr>
          <w:ilvl w:val="0"/>
          <w:numId w:val="2"/>
        </w:numPr>
        <w:rPr>
          <w:rFonts w:ascii="Arial" w:cs="Arial" w:eastAsia="Arial" w:hAnsi="Arial"/>
          <w:sz w:val="18"/>
          <w:szCs w:val="18"/>
          <w:color w:val="auto"/>
        </w:rPr>
      </w:pPr>
      <w:r>
        <w:rPr>
          <w:rFonts w:ascii="Arial" w:cs="Arial" w:eastAsia="Arial" w:hAnsi="Arial"/>
          <w:sz w:val="18"/>
          <w:szCs w:val="18"/>
          <w:color w:val="auto"/>
        </w:rPr>
        <w:t>Citizenship or Place of Organization: U.S.A.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-872490</wp:posOffset>
            </wp:positionV>
            <wp:extent cx="718185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81850" cy="215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-443865</wp:posOffset>
            </wp:positionV>
            <wp:extent cx="718185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81850" cy="215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121285</wp:posOffset>
            </wp:positionV>
            <wp:extent cx="718185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81850" cy="21590"/>
                    </a:xfrm>
                    <a:prstGeom prst="rect">
                      <a:avLst/>
                    </a:prstGeom>
                    <a:noFill/>
                  </pic:spPr>
                </pic:pic>
              </a:graphicData>
            </a:graphic>
          </wp:anchor>
        </w:drawing>
      </w:r>
    </w:p>
    <w:p>
      <w:pPr>
        <w:spacing w:after="0" w:line="200" w:lineRule="exact"/>
        <w:rPr>
          <w:sz w:val="20"/>
          <w:szCs w:val="20"/>
          <w:color w:val="auto"/>
        </w:rPr>
      </w:pPr>
    </w:p>
    <w:p>
      <w:pPr>
        <w:spacing w:after="0" w:line="209" w:lineRule="exact"/>
        <w:rPr>
          <w:sz w:val="20"/>
          <w:szCs w:val="20"/>
          <w:color w:val="auto"/>
        </w:rPr>
      </w:pPr>
    </w:p>
    <w:tbl>
      <w:tblPr>
        <w:tblLayout w:type="fixed"/>
        <w:tblInd w:w="100" w:type="dxa"/>
        <w:tblCellMar>
          <w:top w:w="0" w:type="dxa"/>
          <w:left w:w="0" w:type="dxa"/>
          <w:bottom w:w="0" w:type="dxa"/>
          <w:right w:w="0" w:type="dxa"/>
        </w:tblCellMar>
      </w:tblPr>
      <w:tr>
        <w:trPr>
          <w:trHeight w:val="216"/>
        </w:trPr>
        <w:tc>
          <w:tcPr>
            <w:tcW w:w="1060" w:type="dxa"/>
            <w:vAlign w:val="bottom"/>
          </w:tcPr>
          <w:p>
            <w:pPr>
              <w:spacing w:after="0"/>
              <w:rPr>
                <w:sz w:val="18"/>
                <w:szCs w:val="18"/>
                <w:color w:val="auto"/>
              </w:rPr>
            </w:pPr>
          </w:p>
        </w:tc>
        <w:tc>
          <w:tcPr>
            <w:tcW w:w="240" w:type="dxa"/>
            <w:vAlign w:val="bottom"/>
          </w:tcPr>
          <w:p>
            <w:pPr>
              <w:jc w:val="right"/>
              <w:ind w:right="12"/>
              <w:spacing w:after="0"/>
              <w:rPr>
                <w:sz w:val="20"/>
                <w:szCs w:val="20"/>
                <w:color w:val="auto"/>
              </w:rPr>
            </w:pPr>
            <w:r>
              <w:rPr>
                <w:rFonts w:ascii="Arial" w:cs="Arial" w:eastAsia="Arial" w:hAnsi="Arial"/>
                <w:sz w:val="18"/>
                <w:szCs w:val="18"/>
                <w:color w:val="auto"/>
                <w:w w:val="79"/>
              </w:rPr>
              <w:t>5.</w:t>
            </w:r>
          </w:p>
        </w:tc>
        <w:tc>
          <w:tcPr>
            <w:tcW w:w="9900" w:type="dxa"/>
            <w:vAlign w:val="bottom"/>
          </w:tcPr>
          <w:p>
            <w:pPr>
              <w:ind w:left="10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22"/>
        </w:trPr>
        <w:tc>
          <w:tcPr>
            <w:tcW w:w="1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900" w:type="dxa"/>
            <w:vAlign w:val="bottom"/>
          </w:tcPr>
          <w:p>
            <w:pPr>
              <w:ind w:left="100"/>
              <w:spacing w:after="0"/>
              <w:rPr>
                <w:sz w:val="20"/>
                <w:szCs w:val="20"/>
                <w:color w:val="auto"/>
              </w:rPr>
            </w:pPr>
            <w:r>
              <w:rPr>
                <w:rFonts w:ascii="Arial" w:cs="Arial" w:eastAsia="Arial" w:hAnsi="Arial"/>
                <w:sz w:val="18"/>
                <w:szCs w:val="18"/>
                <w:color w:val="auto"/>
              </w:rPr>
              <w:t>1,367,726</w:t>
            </w:r>
          </w:p>
        </w:tc>
        <w:tc>
          <w:tcPr>
            <w:tcW w:w="0" w:type="dxa"/>
            <w:vAlign w:val="bottom"/>
          </w:tcPr>
          <w:p>
            <w:pPr>
              <w:spacing w:after="0"/>
              <w:rPr>
                <w:sz w:val="1"/>
                <w:szCs w:val="1"/>
                <w:color w:val="auto"/>
              </w:rPr>
            </w:pPr>
          </w:p>
        </w:tc>
      </w:tr>
      <w:tr>
        <w:trPr>
          <w:trHeight w:val="228"/>
        </w:trPr>
        <w:tc>
          <w:tcPr>
            <w:tcW w:w="1060" w:type="dxa"/>
            <w:vAlign w:val="bottom"/>
            <w:vMerge w:val="restart"/>
          </w:tcPr>
          <w:p>
            <w:pPr>
              <w:jc w:val="center"/>
              <w:ind w:right="114"/>
              <w:spacing w:after="0"/>
              <w:rPr>
                <w:sz w:val="20"/>
                <w:szCs w:val="20"/>
                <w:color w:val="auto"/>
              </w:rPr>
            </w:pPr>
            <w:r>
              <w:rPr>
                <w:rFonts w:ascii="Arial" w:cs="Arial" w:eastAsia="Arial" w:hAnsi="Arial"/>
                <w:sz w:val="18"/>
                <w:szCs w:val="18"/>
                <w:color w:val="auto"/>
                <w:w w:val="92"/>
              </w:rPr>
              <w:t>Number of</w:t>
            </w:r>
          </w:p>
        </w:tc>
        <w:tc>
          <w:tcPr>
            <w:tcW w:w="240" w:type="dxa"/>
            <w:vAlign w:val="bottom"/>
            <w:tcBorders>
              <w:bottom w:val="single" w:sz="8" w:color="808080"/>
            </w:tcBorders>
          </w:tcPr>
          <w:p>
            <w:pPr>
              <w:spacing w:after="0"/>
              <w:rPr>
                <w:sz w:val="19"/>
                <w:szCs w:val="19"/>
                <w:color w:val="auto"/>
              </w:rPr>
            </w:pPr>
          </w:p>
        </w:tc>
        <w:tc>
          <w:tcPr>
            <w:tcW w:w="99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326"/>
        </w:trPr>
        <w:tc>
          <w:tcPr>
            <w:tcW w:w="1060" w:type="dxa"/>
            <w:vAlign w:val="bottom"/>
            <w:vMerge w:val="continue"/>
          </w:tcPr>
          <w:p>
            <w:pPr>
              <w:spacing w:after="0"/>
              <w:rPr>
                <w:sz w:val="24"/>
                <w:szCs w:val="24"/>
                <w:color w:val="auto"/>
              </w:rPr>
            </w:pPr>
          </w:p>
        </w:tc>
        <w:tc>
          <w:tcPr>
            <w:tcW w:w="240" w:type="dxa"/>
            <w:vAlign w:val="bottom"/>
            <w:vMerge w:val="restart"/>
          </w:tcPr>
          <w:p>
            <w:pPr>
              <w:jc w:val="right"/>
              <w:ind w:right="12"/>
              <w:spacing w:after="0"/>
              <w:rPr>
                <w:sz w:val="20"/>
                <w:szCs w:val="20"/>
                <w:color w:val="auto"/>
              </w:rPr>
            </w:pPr>
            <w:r>
              <w:rPr>
                <w:rFonts w:ascii="Arial" w:cs="Arial" w:eastAsia="Arial" w:hAnsi="Arial"/>
                <w:sz w:val="18"/>
                <w:szCs w:val="18"/>
                <w:color w:val="auto"/>
                <w:w w:val="79"/>
              </w:rPr>
              <w:t>6.</w:t>
            </w:r>
          </w:p>
        </w:tc>
        <w:tc>
          <w:tcPr>
            <w:tcW w:w="9900" w:type="dxa"/>
            <w:vAlign w:val="bottom"/>
            <w:vMerge w:val="restart"/>
          </w:tcPr>
          <w:p>
            <w:pPr>
              <w:ind w:left="10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95"/>
        </w:trPr>
        <w:tc>
          <w:tcPr>
            <w:tcW w:w="1060" w:type="dxa"/>
            <w:vAlign w:val="bottom"/>
            <w:vMerge w:val="restart"/>
          </w:tcPr>
          <w:p>
            <w:pPr>
              <w:jc w:val="center"/>
              <w:ind w:right="114"/>
              <w:spacing w:after="0"/>
              <w:rPr>
                <w:sz w:val="20"/>
                <w:szCs w:val="20"/>
                <w:color w:val="auto"/>
              </w:rPr>
            </w:pPr>
            <w:r>
              <w:rPr>
                <w:rFonts w:ascii="Arial" w:cs="Arial" w:eastAsia="Arial" w:hAnsi="Arial"/>
                <w:sz w:val="18"/>
                <w:szCs w:val="18"/>
                <w:color w:val="auto"/>
                <w:w w:val="80"/>
              </w:rPr>
              <w:t>Shares</w:t>
            </w:r>
          </w:p>
        </w:tc>
        <w:tc>
          <w:tcPr>
            <w:tcW w:w="240" w:type="dxa"/>
            <w:vAlign w:val="bottom"/>
            <w:vMerge w:val="continue"/>
          </w:tcPr>
          <w:p>
            <w:pPr>
              <w:spacing w:after="0"/>
              <w:rPr>
                <w:sz w:val="8"/>
                <w:szCs w:val="8"/>
                <w:color w:val="auto"/>
              </w:rPr>
            </w:pPr>
          </w:p>
        </w:tc>
        <w:tc>
          <w:tcPr>
            <w:tcW w:w="99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106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9900" w:type="dxa"/>
            <w:vAlign w:val="bottom"/>
            <w:vMerge w:val="restart"/>
          </w:tcPr>
          <w:p>
            <w:pPr>
              <w:ind w:lef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01"/>
        </w:trPr>
        <w:tc>
          <w:tcPr>
            <w:tcW w:w="1060" w:type="dxa"/>
            <w:vAlign w:val="bottom"/>
            <w:vMerge w:val="restart"/>
          </w:tcPr>
          <w:p>
            <w:pPr>
              <w:jc w:val="center"/>
              <w:ind w:right="114"/>
              <w:spacing w:after="0"/>
              <w:rPr>
                <w:sz w:val="20"/>
                <w:szCs w:val="20"/>
                <w:color w:val="auto"/>
              </w:rPr>
            </w:pPr>
            <w:r>
              <w:rPr>
                <w:rFonts w:ascii="Arial" w:cs="Arial" w:eastAsia="Arial" w:hAnsi="Arial"/>
                <w:sz w:val="18"/>
                <w:szCs w:val="18"/>
                <w:color w:val="auto"/>
                <w:w w:val="94"/>
              </w:rPr>
              <w:t>Beneficially</w:t>
            </w:r>
          </w:p>
        </w:tc>
        <w:tc>
          <w:tcPr>
            <w:tcW w:w="240" w:type="dxa"/>
            <w:vAlign w:val="bottom"/>
          </w:tcPr>
          <w:p>
            <w:pPr>
              <w:spacing w:after="0"/>
              <w:rPr>
                <w:sz w:val="8"/>
                <w:szCs w:val="8"/>
                <w:color w:val="auto"/>
              </w:rPr>
            </w:pPr>
          </w:p>
        </w:tc>
        <w:tc>
          <w:tcPr>
            <w:tcW w:w="99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106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9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1060" w:type="dxa"/>
            <w:vAlign w:val="bottom"/>
            <w:vMerge w:val="restart"/>
          </w:tcPr>
          <w:p>
            <w:pPr>
              <w:jc w:val="center"/>
              <w:ind w:right="114"/>
              <w:spacing w:after="0"/>
              <w:rPr>
                <w:sz w:val="20"/>
                <w:szCs w:val="20"/>
                <w:color w:val="auto"/>
              </w:rPr>
            </w:pPr>
            <w:r>
              <w:rPr>
                <w:rFonts w:ascii="Arial" w:cs="Arial" w:eastAsia="Arial" w:hAnsi="Arial"/>
                <w:sz w:val="18"/>
                <w:szCs w:val="18"/>
                <w:color w:val="auto"/>
                <w:w w:val="91"/>
              </w:rPr>
              <w:t>Owned by</w:t>
            </w:r>
          </w:p>
        </w:tc>
        <w:tc>
          <w:tcPr>
            <w:tcW w:w="240" w:type="dxa"/>
            <w:vAlign w:val="bottom"/>
            <w:tcBorders>
              <w:bottom w:val="single" w:sz="8" w:color="808080"/>
            </w:tcBorders>
          </w:tcPr>
          <w:p>
            <w:pPr>
              <w:spacing w:after="0"/>
              <w:rPr>
                <w:sz w:val="9"/>
                <w:szCs w:val="9"/>
                <w:color w:val="auto"/>
              </w:rPr>
            </w:pPr>
          </w:p>
        </w:tc>
        <w:tc>
          <w:tcPr>
            <w:tcW w:w="99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83"/>
        </w:trPr>
        <w:tc>
          <w:tcPr>
            <w:tcW w:w="1060" w:type="dxa"/>
            <w:vAlign w:val="bottom"/>
            <w:vMerge w:val="continue"/>
          </w:tcPr>
          <w:p>
            <w:pPr>
              <w:spacing w:after="0"/>
              <w:rPr>
                <w:sz w:val="7"/>
                <w:szCs w:val="7"/>
                <w:color w:val="auto"/>
              </w:rPr>
            </w:pPr>
          </w:p>
        </w:tc>
        <w:tc>
          <w:tcPr>
            <w:tcW w:w="240" w:type="dxa"/>
            <w:vAlign w:val="bottom"/>
          </w:tcPr>
          <w:p>
            <w:pPr>
              <w:spacing w:after="0"/>
              <w:rPr>
                <w:sz w:val="7"/>
                <w:szCs w:val="7"/>
                <w:color w:val="auto"/>
              </w:rPr>
            </w:pPr>
          </w:p>
        </w:tc>
        <w:tc>
          <w:tcPr>
            <w:tcW w:w="9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1060" w:type="dxa"/>
            <w:vAlign w:val="bottom"/>
          </w:tcPr>
          <w:p>
            <w:pPr>
              <w:jc w:val="center"/>
              <w:ind w:right="114"/>
              <w:spacing w:after="0"/>
              <w:rPr>
                <w:sz w:val="20"/>
                <w:szCs w:val="20"/>
                <w:color w:val="auto"/>
              </w:rPr>
            </w:pPr>
            <w:r>
              <w:rPr>
                <w:rFonts w:ascii="Arial" w:cs="Arial" w:eastAsia="Arial" w:hAnsi="Arial"/>
                <w:sz w:val="18"/>
                <w:szCs w:val="18"/>
                <w:color w:val="auto"/>
                <w:w w:val="82"/>
              </w:rPr>
              <w:t>Each</w:t>
            </w:r>
          </w:p>
        </w:tc>
        <w:tc>
          <w:tcPr>
            <w:tcW w:w="240" w:type="dxa"/>
            <w:vAlign w:val="bottom"/>
            <w:vMerge w:val="restart"/>
          </w:tcPr>
          <w:p>
            <w:pPr>
              <w:jc w:val="right"/>
              <w:ind w:right="12"/>
              <w:spacing w:after="0"/>
              <w:rPr>
                <w:sz w:val="20"/>
                <w:szCs w:val="20"/>
                <w:color w:val="auto"/>
              </w:rPr>
            </w:pPr>
            <w:r>
              <w:rPr>
                <w:rFonts w:ascii="Arial" w:cs="Arial" w:eastAsia="Arial" w:hAnsi="Arial"/>
                <w:sz w:val="18"/>
                <w:szCs w:val="18"/>
                <w:color w:val="auto"/>
                <w:w w:val="79"/>
              </w:rPr>
              <w:t>7.</w:t>
            </w:r>
          </w:p>
        </w:tc>
        <w:tc>
          <w:tcPr>
            <w:tcW w:w="9900" w:type="dxa"/>
            <w:vAlign w:val="bottom"/>
            <w:vMerge w:val="restart"/>
          </w:tcPr>
          <w:p>
            <w:pPr>
              <w:ind w:left="10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36"/>
        </w:trPr>
        <w:tc>
          <w:tcPr>
            <w:tcW w:w="1060" w:type="dxa"/>
            <w:vAlign w:val="bottom"/>
          </w:tcPr>
          <w:p>
            <w:pPr>
              <w:jc w:val="center"/>
              <w:ind w:right="114"/>
              <w:spacing w:after="0" w:line="136" w:lineRule="exact"/>
              <w:rPr>
                <w:sz w:val="20"/>
                <w:szCs w:val="20"/>
                <w:color w:val="auto"/>
              </w:rPr>
            </w:pPr>
            <w:r>
              <w:rPr>
                <w:rFonts w:ascii="Arial" w:cs="Arial" w:eastAsia="Arial" w:hAnsi="Arial"/>
                <w:sz w:val="15"/>
                <w:szCs w:val="15"/>
                <w:color w:val="auto"/>
              </w:rPr>
              <w:t>Reporting</w:t>
            </w:r>
          </w:p>
        </w:tc>
        <w:tc>
          <w:tcPr>
            <w:tcW w:w="240" w:type="dxa"/>
            <w:vAlign w:val="bottom"/>
            <w:vMerge w:val="continue"/>
          </w:tcPr>
          <w:p>
            <w:pPr>
              <w:spacing w:after="0"/>
              <w:rPr>
                <w:sz w:val="11"/>
                <w:szCs w:val="11"/>
                <w:color w:val="auto"/>
              </w:rPr>
            </w:pPr>
          </w:p>
        </w:tc>
        <w:tc>
          <w:tcPr>
            <w:tcW w:w="99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7168515</wp:posOffset>
            </wp:positionH>
            <wp:positionV relativeFrom="paragraph">
              <wp:posOffset>-855980</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736600</wp:posOffset>
            </wp:positionH>
            <wp:positionV relativeFrom="paragraph">
              <wp:posOffset>-855980</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7168515</wp:posOffset>
            </wp:positionH>
            <wp:positionV relativeFrom="paragraph">
              <wp:posOffset>-290195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736600</wp:posOffset>
            </wp:positionH>
            <wp:positionV relativeFrom="paragraph">
              <wp:posOffset>-290195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tbl>
      <w:tblPr>
        <w:tblLayout w:type="fixed"/>
        <w:tblInd w:w="100" w:type="dxa"/>
        <w:tblCellMar>
          <w:top w:w="0" w:type="dxa"/>
          <w:left w:w="0" w:type="dxa"/>
          <w:bottom w:w="0" w:type="dxa"/>
          <w:right w:w="0" w:type="dxa"/>
        </w:tblCellMar>
      </w:tblPr>
      <w:tr>
        <w:trPr>
          <w:trHeight w:val="222"/>
        </w:trPr>
        <w:tc>
          <w:tcPr>
            <w:tcW w:w="1060" w:type="dxa"/>
            <w:vAlign w:val="bottom"/>
            <w:vMerge w:val="restart"/>
          </w:tcPr>
          <w:p>
            <w:pPr>
              <w:spacing w:after="0"/>
              <w:rPr>
                <w:sz w:val="20"/>
                <w:szCs w:val="20"/>
                <w:color w:val="auto"/>
              </w:rPr>
            </w:pPr>
            <w:r>
              <w:rPr>
                <w:rFonts w:ascii="Arial" w:cs="Arial" w:eastAsia="Arial" w:hAnsi="Arial"/>
                <w:sz w:val="18"/>
                <w:szCs w:val="18"/>
                <w:color w:val="auto"/>
              </w:rPr>
              <w:t>Person With</w:t>
            </w:r>
          </w:p>
        </w:tc>
        <w:tc>
          <w:tcPr>
            <w:tcW w:w="10140" w:type="dxa"/>
            <w:vAlign w:val="bottom"/>
          </w:tcPr>
          <w:p>
            <w:pPr>
              <w:jc w:val="right"/>
              <w:ind w:right="9012"/>
              <w:spacing w:after="0"/>
              <w:rPr>
                <w:sz w:val="20"/>
                <w:szCs w:val="20"/>
                <w:color w:val="auto"/>
              </w:rPr>
            </w:pPr>
            <w:r>
              <w:rPr>
                <w:rFonts w:ascii="Arial" w:cs="Arial" w:eastAsia="Arial" w:hAnsi="Arial"/>
                <w:sz w:val="18"/>
                <w:szCs w:val="18"/>
                <w:color w:val="auto"/>
              </w:rPr>
              <w:t>1,367,726</w:t>
            </w:r>
          </w:p>
        </w:tc>
        <w:tc>
          <w:tcPr>
            <w:tcW w:w="0" w:type="dxa"/>
            <w:vAlign w:val="bottom"/>
          </w:tcPr>
          <w:p>
            <w:pPr>
              <w:spacing w:after="0"/>
              <w:rPr>
                <w:sz w:val="1"/>
                <w:szCs w:val="1"/>
                <w:color w:val="auto"/>
              </w:rPr>
            </w:pPr>
          </w:p>
        </w:tc>
      </w:tr>
      <w:tr>
        <w:trPr>
          <w:trHeight w:val="81"/>
        </w:trPr>
        <w:tc>
          <w:tcPr>
            <w:tcW w:w="1060" w:type="dxa"/>
            <w:vAlign w:val="bottom"/>
            <w:vMerge w:val="continue"/>
          </w:tcPr>
          <w:p>
            <w:pPr>
              <w:spacing w:after="0"/>
              <w:rPr>
                <w:sz w:val="7"/>
                <w:szCs w:val="7"/>
                <w:color w:val="auto"/>
              </w:rPr>
            </w:pPr>
          </w:p>
        </w:tc>
        <w:tc>
          <w:tcPr>
            <w:tcW w:w="10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1060" w:type="dxa"/>
            <w:vAlign w:val="bottom"/>
          </w:tcPr>
          <w:p>
            <w:pPr>
              <w:spacing w:after="0"/>
              <w:rPr>
                <w:sz w:val="11"/>
                <w:szCs w:val="11"/>
                <w:color w:val="auto"/>
              </w:rPr>
            </w:pPr>
          </w:p>
        </w:tc>
        <w:tc>
          <w:tcPr>
            <w:tcW w:w="101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7168515</wp:posOffset>
            </wp:positionH>
            <wp:positionV relativeFrom="paragraph">
              <wp:posOffset>-14605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736600</wp:posOffset>
            </wp:positionH>
            <wp:positionV relativeFrom="paragraph">
              <wp:posOffset>-14605</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4" w:lineRule="exact"/>
        <w:rPr>
          <w:sz w:val="20"/>
          <w:szCs w:val="20"/>
          <w:color w:val="auto"/>
        </w:rPr>
      </w:pPr>
    </w:p>
    <w:p>
      <w:pPr>
        <w:ind w:left="1500" w:right="7920" w:hanging="336"/>
        <w:spacing w:after="0" w:line="268" w:lineRule="auto"/>
        <w:tabs>
          <w:tab w:leader="none" w:pos="1500" w:val="left"/>
        </w:tabs>
        <w:numPr>
          <w:ilvl w:val="1"/>
          <w:numId w:val="3"/>
        </w:numPr>
        <w:rPr>
          <w:rFonts w:ascii="Arial" w:cs="Arial" w:eastAsia="Arial" w:hAnsi="Arial"/>
          <w:sz w:val="18"/>
          <w:szCs w:val="18"/>
          <w:color w:val="auto"/>
        </w:rPr>
      </w:pPr>
      <w:r>
        <w:rPr>
          <w:rFonts w:ascii="Arial" w:cs="Arial" w:eastAsia="Arial" w:hAnsi="Arial"/>
          <w:sz w:val="18"/>
          <w:szCs w:val="18"/>
          <w:color w:val="auto"/>
        </w:rPr>
        <w:t>Shared Dispositive Power: 0</w:t>
      </w:r>
    </w:p>
    <w:p>
      <w:pPr>
        <w:spacing w:after="0" w:line="200" w:lineRule="exact"/>
        <w:rPr>
          <w:rFonts w:ascii="Arial" w:cs="Arial" w:eastAsia="Arial" w:hAnsi="Arial"/>
          <w:sz w:val="18"/>
          <w:szCs w:val="18"/>
          <w:color w:val="auto"/>
        </w:rPr>
      </w:pPr>
    </w:p>
    <w:p>
      <w:pPr>
        <w:spacing w:after="0" w:line="229" w:lineRule="exact"/>
        <w:rPr>
          <w:rFonts w:ascii="Arial" w:cs="Arial" w:eastAsia="Arial" w:hAnsi="Arial"/>
          <w:sz w:val="18"/>
          <w:szCs w:val="18"/>
          <w:color w:val="auto"/>
        </w:rPr>
      </w:pPr>
    </w:p>
    <w:p>
      <w:pPr>
        <w:ind w:left="820" w:right="5760" w:hanging="359"/>
        <w:spacing w:after="0" w:line="268" w:lineRule="auto"/>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1,367,726</w:t>
      </w:r>
    </w:p>
    <w:p>
      <w:pPr>
        <w:spacing w:after="0" w:line="200" w:lineRule="exact"/>
        <w:rPr>
          <w:rFonts w:ascii="Arial" w:cs="Arial" w:eastAsia="Arial" w:hAnsi="Arial"/>
          <w:sz w:val="18"/>
          <w:szCs w:val="18"/>
          <w:color w:val="auto"/>
        </w:rPr>
      </w:pPr>
    </w:p>
    <w:p>
      <w:pPr>
        <w:spacing w:after="0" w:line="229" w:lineRule="exact"/>
        <w:rPr>
          <w:rFonts w:ascii="Arial" w:cs="Arial" w:eastAsia="Arial" w:hAnsi="Arial"/>
          <w:sz w:val="18"/>
          <w:szCs w:val="18"/>
          <w:color w:val="auto"/>
        </w:rPr>
      </w:pPr>
    </w:p>
    <w:p>
      <w:pPr>
        <w:ind w:left="820" w:right="4340" w:hanging="359"/>
        <w:spacing w:after="0" w:line="268" w:lineRule="auto"/>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 (See Instructions): o</w:t>
      </w:r>
    </w:p>
    <w:p>
      <w:pPr>
        <w:spacing w:after="0" w:line="200" w:lineRule="exact"/>
        <w:rPr>
          <w:rFonts w:ascii="Arial" w:cs="Arial" w:eastAsia="Arial" w:hAnsi="Arial"/>
          <w:sz w:val="18"/>
          <w:szCs w:val="18"/>
          <w:color w:val="auto"/>
        </w:rPr>
      </w:pPr>
    </w:p>
    <w:p>
      <w:pPr>
        <w:spacing w:after="0" w:line="229" w:lineRule="exact"/>
        <w:rPr>
          <w:rFonts w:ascii="Arial" w:cs="Arial" w:eastAsia="Arial" w:hAnsi="Arial"/>
          <w:sz w:val="18"/>
          <w:szCs w:val="18"/>
          <w:color w:val="auto"/>
        </w:rPr>
      </w:pPr>
    </w:p>
    <w:p>
      <w:pPr>
        <w:ind w:left="820" w:right="6740" w:hanging="359"/>
        <w:spacing w:after="0" w:line="268" w:lineRule="auto"/>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Percent of Class Represented by Amount in Row (9): 10.65%</w:t>
      </w:r>
    </w:p>
    <w:p>
      <w:pPr>
        <w:spacing w:after="0" w:line="200" w:lineRule="exact"/>
        <w:rPr>
          <w:rFonts w:ascii="Arial" w:cs="Arial" w:eastAsia="Arial" w:hAnsi="Arial"/>
          <w:sz w:val="18"/>
          <w:szCs w:val="18"/>
          <w:color w:val="auto"/>
        </w:rPr>
      </w:pPr>
    </w:p>
    <w:p>
      <w:pPr>
        <w:spacing w:after="0" w:line="229" w:lineRule="exact"/>
        <w:rPr>
          <w:rFonts w:ascii="Arial" w:cs="Arial" w:eastAsia="Arial" w:hAnsi="Arial"/>
          <w:sz w:val="18"/>
          <w:szCs w:val="18"/>
          <w:color w:val="auto"/>
        </w:rPr>
      </w:pPr>
    </w:p>
    <w:p>
      <w:pPr>
        <w:ind w:left="820" w:hanging="359"/>
        <w:spacing w:after="0"/>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15" w:lineRule="exact"/>
        <w:rPr>
          <w:rFonts w:ascii="Arial" w:cs="Arial" w:eastAsia="Arial" w:hAnsi="Arial"/>
          <w:sz w:val="18"/>
          <w:szCs w:val="18"/>
          <w:color w:val="auto"/>
        </w:rPr>
      </w:pPr>
    </w:p>
    <w:p>
      <w:pPr>
        <w:ind w:left="820"/>
        <w:spacing w:after="0"/>
        <w:rPr>
          <w:rFonts w:ascii="Arial" w:cs="Arial" w:eastAsia="Arial" w:hAnsi="Arial"/>
          <w:sz w:val="18"/>
          <w:szCs w:val="18"/>
          <w:color w:val="auto"/>
        </w:rPr>
      </w:pPr>
      <w:r>
        <w:rPr>
          <w:rFonts w:ascii="Arial" w:cs="Arial" w:eastAsia="Arial" w:hAnsi="Arial"/>
          <w:sz w:val="18"/>
          <w:szCs w:val="18"/>
          <w:color w:val="auto"/>
        </w:rPr>
        <w: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-2120900</wp:posOffset>
            </wp:positionV>
            <wp:extent cx="718185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81850" cy="215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-1555115</wp:posOffset>
            </wp:positionV>
            <wp:extent cx="718185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81850" cy="215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-989330</wp:posOffset>
            </wp:positionV>
            <wp:extent cx="718185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81850" cy="215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-422910</wp:posOffset>
            </wp:positionV>
            <wp:extent cx="718185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81850" cy="215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142240</wp:posOffset>
            </wp:positionV>
            <wp:extent cx="718185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8185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 of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146050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300" w:top="1320" w:right="299" w:bottom="1440" w:gutter="0" w:footer="0" w:header="0"/>
          <w:type w:val="continuous"/>
        </w:sectPr>
      </w:pPr>
    </w:p>
    <w:bookmarkStart w:id="3" w:name="page4"/>
    <w:bookmarkEnd w:id="3"/>
    <w:p>
      <w:pPr>
        <w:ind w:left="5500"/>
        <w:spacing w:after="0"/>
        <w:rPr>
          <w:sz w:val="20"/>
          <w:szCs w:val="20"/>
          <w:color w:val="auto"/>
        </w:rPr>
      </w:pPr>
      <w:r>
        <w:rPr>
          <w:rFonts w:ascii="Arial" w:cs="Arial" w:eastAsia="Arial" w:hAnsi="Arial"/>
          <w:sz w:val="18"/>
          <w:szCs w:val="18"/>
          <w:color w:val="auto"/>
        </w:rPr>
        <w:t>13G</w:t>
      </w: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w:t>
      </w:r>
    </w:p>
    <w:p>
      <w:pPr>
        <w:spacing w:after="0" w:line="123" w:lineRule="exact"/>
        <w:rPr>
          <w:sz w:val="20"/>
          <w:szCs w:val="20"/>
          <w:color w:val="auto"/>
        </w:rPr>
      </w:pPr>
    </w:p>
    <w:p>
      <w:pPr>
        <w:ind w:left="1720" w:hanging="570"/>
        <w:spacing w:after="0"/>
        <w:tabs>
          <w:tab w:leader="none" w:pos="1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Name of Issuer:</w:t>
      </w:r>
    </w:p>
    <w:p>
      <w:pPr>
        <w:spacing w:after="0" w:line="117" w:lineRule="exact"/>
        <w:rPr>
          <w:rFonts w:ascii="Arial" w:cs="Arial" w:eastAsia="Arial" w:hAnsi="Arial"/>
          <w:sz w:val="18"/>
          <w:szCs w:val="18"/>
          <w:color w:val="auto"/>
        </w:rPr>
      </w:pPr>
    </w:p>
    <w:p>
      <w:pPr>
        <w:ind w:left="1720"/>
        <w:spacing w:after="0"/>
        <w:rPr>
          <w:rFonts w:ascii="Arial" w:cs="Arial" w:eastAsia="Arial" w:hAnsi="Arial"/>
          <w:sz w:val="18"/>
          <w:szCs w:val="18"/>
          <w:color w:val="auto"/>
        </w:rPr>
      </w:pPr>
      <w:r>
        <w:rPr>
          <w:rFonts w:ascii="Arial" w:cs="Arial" w:eastAsia="Arial" w:hAnsi="Arial"/>
          <w:sz w:val="18"/>
          <w:szCs w:val="18"/>
          <w:color w:val="auto"/>
        </w:rPr>
        <w:t>Calavo Growers, Inc., a California corporation</w:t>
      </w:r>
    </w:p>
    <w:p>
      <w:pPr>
        <w:spacing w:after="0" w:line="117" w:lineRule="exact"/>
        <w:rPr>
          <w:rFonts w:ascii="Arial" w:cs="Arial" w:eastAsia="Arial" w:hAnsi="Arial"/>
          <w:sz w:val="18"/>
          <w:szCs w:val="18"/>
          <w:color w:val="auto"/>
        </w:rPr>
      </w:pPr>
    </w:p>
    <w:p>
      <w:pPr>
        <w:ind w:left="1720" w:hanging="570"/>
        <w:spacing w:after="0"/>
        <w:tabs>
          <w:tab w:leader="none" w:pos="1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Address of Issuer's Principal Executive Offices:</w:t>
      </w:r>
    </w:p>
    <w:p>
      <w:pPr>
        <w:spacing w:after="0" w:line="117" w:lineRule="exact"/>
        <w:rPr>
          <w:rFonts w:ascii="Arial" w:cs="Arial" w:eastAsia="Arial" w:hAnsi="Arial"/>
          <w:sz w:val="18"/>
          <w:szCs w:val="18"/>
          <w:color w:val="auto"/>
        </w:rPr>
      </w:pPr>
    </w:p>
    <w:p>
      <w:pPr>
        <w:ind w:left="1720"/>
        <w:spacing w:after="0"/>
        <w:rPr>
          <w:rFonts w:ascii="Arial" w:cs="Arial" w:eastAsia="Arial" w:hAnsi="Arial"/>
          <w:sz w:val="18"/>
          <w:szCs w:val="18"/>
          <w:color w:val="auto"/>
        </w:rPr>
      </w:pPr>
      <w:r>
        <w:rPr>
          <w:rFonts w:ascii="Arial" w:cs="Arial" w:eastAsia="Arial" w:hAnsi="Arial"/>
          <w:sz w:val="18"/>
          <w:szCs w:val="18"/>
          <w:color w:val="auto"/>
        </w:rPr>
        <w:t>2530 Red Hill Avenue, Santa Ana, California 92705-5542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w:t>
      </w:r>
    </w:p>
    <w:p>
      <w:pPr>
        <w:spacing w:after="0" w:line="123" w:lineRule="exact"/>
        <w:rPr>
          <w:sz w:val="20"/>
          <w:szCs w:val="20"/>
          <w:color w:val="auto"/>
        </w:rPr>
      </w:pPr>
    </w:p>
    <w:p>
      <w:pPr>
        <w:ind w:left="1720" w:right="6799" w:hanging="570"/>
        <w:spacing w:after="0" w:line="375" w:lineRule="auto"/>
        <w:tabs>
          <w:tab w:leader="none" w:pos="1720" w:val="left"/>
        </w:tabs>
        <w:numPr>
          <w:ilvl w:val="0"/>
          <w:numId w:val="6"/>
        </w:numPr>
        <w:rPr>
          <w:rFonts w:ascii="Arial" w:cs="Arial" w:eastAsia="Arial" w:hAnsi="Arial"/>
          <w:sz w:val="18"/>
          <w:szCs w:val="18"/>
          <w:color w:val="auto"/>
        </w:rPr>
      </w:pPr>
      <w:r>
        <w:rPr>
          <w:rFonts w:ascii="Arial" w:cs="Arial" w:eastAsia="Arial" w:hAnsi="Arial"/>
          <w:sz w:val="18"/>
          <w:szCs w:val="18"/>
          <w:color w:val="auto"/>
        </w:rPr>
        <w:t>Name of Person Filing: Lecil E. Cole</w:t>
      </w:r>
    </w:p>
    <w:p>
      <w:pPr>
        <w:spacing w:after="0" w:line="1" w:lineRule="exact"/>
        <w:rPr>
          <w:rFonts w:ascii="Arial" w:cs="Arial" w:eastAsia="Arial" w:hAnsi="Arial"/>
          <w:sz w:val="18"/>
          <w:szCs w:val="18"/>
          <w:color w:val="auto"/>
        </w:rPr>
      </w:pPr>
    </w:p>
    <w:p>
      <w:pPr>
        <w:ind w:left="1720" w:hanging="570"/>
        <w:spacing w:after="0"/>
        <w:tabs>
          <w:tab w:leader="none" w:pos="1720" w:val="left"/>
        </w:tabs>
        <w:numPr>
          <w:ilvl w:val="0"/>
          <w:numId w:val="6"/>
        </w:numPr>
        <w:rPr>
          <w:rFonts w:ascii="Arial" w:cs="Arial" w:eastAsia="Arial" w:hAnsi="Arial"/>
          <w:sz w:val="18"/>
          <w:szCs w:val="18"/>
          <w:color w:val="auto"/>
        </w:rPr>
      </w:pPr>
      <w:r>
        <w:rPr>
          <w:rFonts w:ascii="Arial" w:cs="Arial" w:eastAsia="Arial" w:hAnsi="Arial"/>
          <w:sz w:val="18"/>
          <w:szCs w:val="18"/>
          <w:color w:val="auto"/>
        </w:rPr>
        <w:t>Address of Principal Business Office or, if none, Residence:</w:t>
      </w:r>
    </w:p>
    <w:p>
      <w:pPr>
        <w:spacing w:after="0" w:line="117" w:lineRule="exact"/>
        <w:rPr>
          <w:rFonts w:ascii="Arial" w:cs="Arial" w:eastAsia="Arial" w:hAnsi="Arial"/>
          <w:sz w:val="18"/>
          <w:szCs w:val="18"/>
          <w:color w:val="auto"/>
        </w:rPr>
      </w:pPr>
    </w:p>
    <w:p>
      <w:pPr>
        <w:ind w:left="1720"/>
        <w:spacing w:after="0"/>
        <w:rPr>
          <w:rFonts w:ascii="Arial" w:cs="Arial" w:eastAsia="Arial" w:hAnsi="Arial"/>
          <w:sz w:val="18"/>
          <w:szCs w:val="18"/>
          <w:color w:val="auto"/>
        </w:rPr>
      </w:pPr>
      <w:r>
        <w:rPr>
          <w:rFonts w:ascii="Arial" w:cs="Arial" w:eastAsia="Arial" w:hAnsi="Arial"/>
          <w:sz w:val="18"/>
          <w:szCs w:val="18"/>
          <w:color w:val="auto"/>
        </w:rPr>
        <w:t>2530 Red Hill Avenue, Santa Ana, California 92705-5542</w:t>
      </w:r>
    </w:p>
    <w:p>
      <w:pPr>
        <w:spacing w:after="0" w:line="200" w:lineRule="exact"/>
        <w:rPr>
          <w:rFonts w:ascii="Arial" w:cs="Arial" w:eastAsia="Arial" w:hAnsi="Arial"/>
          <w:sz w:val="18"/>
          <w:szCs w:val="18"/>
          <w:color w:val="auto"/>
        </w:rPr>
      </w:pPr>
    </w:p>
    <w:p>
      <w:pPr>
        <w:spacing w:after="0" w:line="349" w:lineRule="exact"/>
        <w:rPr>
          <w:rFonts w:ascii="Arial" w:cs="Arial" w:eastAsia="Arial" w:hAnsi="Arial"/>
          <w:sz w:val="18"/>
          <w:szCs w:val="18"/>
          <w:color w:val="auto"/>
        </w:rPr>
      </w:pPr>
    </w:p>
    <w:p>
      <w:pPr>
        <w:ind w:left="1720" w:hanging="570"/>
        <w:spacing w:after="0"/>
        <w:tabs>
          <w:tab w:leader="none" w:pos="1720" w:val="left"/>
        </w:tabs>
        <w:numPr>
          <w:ilvl w:val="0"/>
          <w:numId w:val="6"/>
        </w:numPr>
        <w:rPr>
          <w:rFonts w:ascii="Arial" w:cs="Arial" w:eastAsia="Arial" w:hAnsi="Arial"/>
          <w:sz w:val="18"/>
          <w:szCs w:val="18"/>
          <w:color w:val="auto"/>
        </w:rPr>
      </w:pPr>
      <w:r>
        <w:rPr>
          <w:rFonts w:ascii="Arial" w:cs="Arial" w:eastAsia="Arial" w:hAnsi="Arial"/>
          <w:sz w:val="18"/>
          <w:szCs w:val="18"/>
          <w:color w:val="auto"/>
        </w:rPr>
        <w:t>Citizenship:</w:t>
      </w:r>
    </w:p>
    <w:p>
      <w:pPr>
        <w:spacing w:after="0" w:line="117" w:lineRule="exact"/>
        <w:rPr>
          <w:rFonts w:ascii="Arial" w:cs="Arial" w:eastAsia="Arial" w:hAnsi="Arial"/>
          <w:sz w:val="18"/>
          <w:szCs w:val="18"/>
          <w:color w:val="auto"/>
        </w:rPr>
      </w:pPr>
    </w:p>
    <w:p>
      <w:pPr>
        <w:ind w:left="1720"/>
        <w:spacing w:after="0"/>
        <w:rPr>
          <w:rFonts w:ascii="Arial" w:cs="Arial" w:eastAsia="Arial" w:hAnsi="Arial"/>
          <w:sz w:val="18"/>
          <w:szCs w:val="18"/>
          <w:color w:val="auto"/>
        </w:rPr>
      </w:pPr>
      <w:r>
        <w:rPr>
          <w:rFonts w:ascii="Arial" w:cs="Arial" w:eastAsia="Arial" w:hAnsi="Arial"/>
          <w:sz w:val="18"/>
          <w:szCs w:val="18"/>
          <w:color w:val="auto"/>
        </w:rPr>
        <w:t>United States citizen</w:t>
      </w:r>
    </w:p>
    <w:p>
      <w:pPr>
        <w:spacing w:after="0" w:line="117" w:lineRule="exact"/>
        <w:rPr>
          <w:rFonts w:ascii="Arial" w:cs="Arial" w:eastAsia="Arial" w:hAnsi="Arial"/>
          <w:sz w:val="18"/>
          <w:szCs w:val="18"/>
          <w:color w:val="auto"/>
        </w:rPr>
      </w:pPr>
    </w:p>
    <w:p>
      <w:pPr>
        <w:ind w:left="1720" w:hanging="570"/>
        <w:spacing w:after="0"/>
        <w:tabs>
          <w:tab w:leader="none" w:pos="17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Title of Class of Securities:</w:t>
      </w:r>
    </w:p>
    <w:p>
      <w:pPr>
        <w:spacing w:after="0" w:line="117" w:lineRule="exact"/>
        <w:rPr>
          <w:rFonts w:ascii="Arial" w:cs="Arial" w:eastAsia="Arial" w:hAnsi="Arial"/>
          <w:sz w:val="18"/>
          <w:szCs w:val="18"/>
          <w:color w:val="auto"/>
        </w:rPr>
      </w:pPr>
    </w:p>
    <w:p>
      <w:pPr>
        <w:ind w:left="1720"/>
        <w:spacing w:after="0"/>
        <w:rPr>
          <w:rFonts w:ascii="Arial" w:cs="Arial" w:eastAsia="Arial" w:hAnsi="Arial"/>
          <w:sz w:val="18"/>
          <w:szCs w:val="18"/>
          <w:color w:val="auto"/>
        </w:rPr>
      </w:pPr>
      <w:r>
        <w:rPr>
          <w:rFonts w:ascii="Arial" w:cs="Arial" w:eastAsia="Arial" w:hAnsi="Arial"/>
          <w:sz w:val="16"/>
          <w:szCs w:val="16"/>
          <w:color w:val="auto"/>
        </w:rPr>
        <w:t>The class of securities to which this Schedule 13G relates is common stock, par value $.001</w:t>
      </w:r>
    </w:p>
    <w:p>
      <w:pPr>
        <w:spacing w:after="0" w:line="140" w:lineRule="exact"/>
        <w:rPr>
          <w:rFonts w:ascii="Arial" w:cs="Arial" w:eastAsia="Arial" w:hAnsi="Arial"/>
          <w:sz w:val="18"/>
          <w:szCs w:val="18"/>
          <w:color w:val="auto"/>
        </w:rPr>
      </w:pPr>
    </w:p>
    <w:p>
      <w:pPr>
        <w:ind w:left="1720" w:right="7279" w:hanging="570"/>
        <w:spacing w:after="0" w:line="472" w:lineRule="auto"/>
        <w:tabs>
          <w:tab w:leader="none" w:pos="1720" w:val="left"/>
        </w:tabs>
        <w:numPr>
          <w:ilvl w:val="0"/>
          <w:numId w:val="6"/>
        </w:numPr>
        <w:rPr>
          <w:rFonts w:ascii="Arial" w:cs="Arial" w:eastAsia="Arial" w:hAnsi="Arial"/>
          <w:sz w:val="16"/>
          <w:szCs w:val="16"/>
          <w:color w:val="auto"/>
        </w:rPr>
      </w:pPr>
      <w:r>
        <w:rPr>
          <w:rFonts w:ascii="Arial" w:cs="Arial" w:eastAsia="Arial" w:hAnsi="Arial"/>
          <w:sz w:val="16"/>
          <w:szCs w:val="16"/>
          <w:color w:val="auto"/>
        </w:rPr>
        <w:t>CUSIP Number: 128246 10 5</w:t>
      </w:r>
    </w:p>
    <w:p>
      <w:pPr>
        <w:spacing w:after="0" w:line="243" w:lineRule="exact"/>
        <w:rPr>
          <w:sz w:val="20"/>
          <w:szCs w:val="20"/>
          <w:color w:val="auto"/>
        </w:rPr>
      </w:pPr>
    </w:p>
    <w:p>
      <w:pPr>
        <w:jc w:val="center"/>
        <w:ind w:right="1159"/>
        <w:spacing w:after="0" w:line="400" w:lineRule="auto"/>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color w:val="auto"/>
        </w:rPr>
        <w:t>If this statement is filed pursuant to §§240.13d-1(b) or 240.13d-2(b) or (c), check whether the person filing is a:</w:t>
      </w:r>
      <w:r>
        <w:rPr>
          <w:rFonts w:ascii="Arial" w:cs="Arial" w:eastAsia="Arial" w:hAnsi="Arial"/>
          <w:sz w:val="18"/>
          <w:szCs w:val="18"/>
          <w:b w:val="1"/>
          <w:bCs w:val="1"/>
          <w:color w:val="auto"/>
        </w:rPr>
        <w:t xml:space="preserve"> </w:t>
      </w:r>
      <w:r>
        <w:rPr>
          <w:rFonts w:ascii="Arial" w:cs="Arial" w:eastAsia="Arial" w:hAnsi="Arial"/>
          <w:sz w:val="18"/>
          <w:szCs w:val="18"/>
          <w:color w:val="auto"/>
        </w:rPr>
        <w:t>This statement is filed by an individual pursuant to Rule 13d-2(b).</w:t>
      </w:r>
    </w:p>
    <w:p>
      <w:pPr>
        <w:spacing w:after="0" w:line="200" w:lineRule="exact"/>
        <w:rPr>
          <w:sz w:val="20"/>
          <w:szCs w:val="20"/>
          <w:color w:val="auto"/>
        </w:rPr>
      </w:pPr>
    </w:p>
    <w:p>
      <w:pPr>
        <w:spacing w:after="0" w:line="250"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3 of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146050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159"/>
          </w:cols>
          <w:pgMar w:left="300" w:top="941" w:right="1440" w:bottom="1440" w:gutter="0" w:footer="0" w:header="0"/>
        </w:sectPr>
      </w:pPr>
    </w:p>
    <w:bookmarkStart w:id="4" w:name="page5"/>
    <w:bookmarkEnd w:id="4"/>
    <w:p>
      <w:pPr>
        <w:spacing w:after="0" w:line="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13G</w:t>
      </w:r>
    </w:p>
    <w:p>
      <w:pPr>
        <w:spacing w:after="0" w:line="381"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Ownership.</w:t>
      </w:r>
    </w:p>
    <w:p>
      <w:pPr>
        <w:spacing w:after="0" w:line="123" w:lineRule="exact"/>
        <w:rPr>
          <w:sz w:val="20"/>
          <w:szCs w:val="20"/>
          <w:color w:val="auto"/>
        </w:rPr>
      </w:pPr>
    </w:p>
    <w:p>
      <w:pPr>
        <w:ind w:left="1720" w:hanging="570"/>
        <w:spacing w:after="0"/>
        <w:tabs>
          <w:tab w:leader="none" w:pos="1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Amount beneficially owned:</w:t>
      </w:r>
    </w:p>
    <w:p>
      <w:pPr>
        <w:spacing w:after="0" w:line="117" w:lineRule="exact"/>
        <w:rPr>
          <w:rFonts w:ascii="Arial" w:cs="Arial" w:eastAsia="Arial" w:hAnsi="Arial"/>
          <w:sz w:val="18"/>
          <w:szCs w:val="18"/>
          <w:color w:val="auto"/>
        </w:rPr>
      </w:pPr>
    </w:p>
    <w:p>
      <w:pPr>
        <w:ind w:left="1720"/>
        <w:spacing w:after="0"/>
        <w:rPr>
          <w:rFonts w:ascii="Arial" w:cs="Arial" w:eastAsia="Arial" w:hAnsi="Arial"/>
          <w:sz w:val="18"/>
          <w:szCs w:val="18"/>
          <w:color w:val="auto"/>
        </w:rPr>
      </w:pPr>
      <w:r>
        <w:rPr>
          <w:rFonts w:ascii="Arial" w:cs="Arial" w:eastAsia="Arial" w:hAnsi="Arial"/>
          <w:sz w:val="18"/>
          <w:szCs w:val="18"/>
          <w:color w:val="auto"/>
        </w:rPr>
        <w:t>As of December 31, 2002, Mr. Cole beneficially owned 1,367,726 shares of common stock.</w:t>
      </w:r>
    </w:p>
    <w:p>
      <w:pPr>
        <w:spacing w:after="0" w:line="117" w:lineRule="exact"/>
        <w:rPr>
          <w:rFonts w:ascii="Arial" w:cs="Arial" w:eastAsia="Arial" w:hAnsi="Arial"/>
          <w:sz w:val="18"/>
          <w:szCs w:val="18"/>
          <w:color w:val="auto"/>
        </w:rPr>
      </w:pPr>
    </w:p>
    <w:p>
      <w:pPr>
        <w:ind w:left="1720" w:hanging="570"/>
        <w:spacing w:after="0"/>
        <w:tabs>
          <w:tab w:leader="none" w:pos="1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117" w:lineRule="exact"/>
        <w:rPr>
          <w:rFonts w:ascii="Arial" w:cs="Arial" w:eastAsia="Arial" w:hAnsi="Arial"/>
          <w:sz w:val="18"/>
          <w:szCs w:val="18"/>
          <w:color w:val="auto"/>
        </w:rPr>
      </w:pPr>
    </w:p>
    <w:p>
      <w:pPr>
        <w:ind w:left="1720"/>
        <w:spacing w:after="0"/>
        <w:rPr>
          <w:rFonts w:ascii="Arial" w:cs="Arial" w:eastAsia="Arial" w:hAnsi="Arial"/>
          <w:sz w:val="18"/>
          <w:szCs w:val="18"/>
          <w:color w:val="auto"/>
        </w:rPr>
      </w:pPr>
      <w:r>
        <w:rPr>
          <w:rFonts w:ascii="Arial" w:cs="Arial" w:eastAsia="Arial" w:hAnsi="Arial"/>
          <w:sz w:val="18"/>
          <w:szCs w:val="18"/>
          <w:color w:val="auto"/>
        </w:rPr>
        <w:t>10.65%</w:t>
      </w:r>
    </w:p>
    <w:p>
      <w:pPr>
        <w:spacing w:after="0" w:line="117" w:lineRule="exact"/>
        <w:rPr>
          <w:rFonts w:ascii="Arial" w:cs="Arial" w:eastAsia="Arial" w:hAnsi="Arial"/>
          <w:sz w:val="18"/>
          <w:szCs w:val="18"/>
          <w:color w:val="auto"/>
        </w:rPr>
      </w:pPr>
    </w:p>
    <w:p>
      <w:pPr>
        <w:ind w:left="1720" w:hanging="570"/>
        <w:spacing w:after="0"/>
        <w:tabs>
          <w:tab w:leader="none" w:pos="1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2280" w:right="6200" w:hanging="563"/>
        <w:spacing w:after="0" w:line="375" w:lineRule="auto"/>
        <w:tabs>
          <w:tab w:leader="none" w:pos="2280" w:val="left"/>
        </w:tabs>
        <w:numPr>
          <w:ilvl w:val="1"/>
          <w:numId w:val="7"/>
        </w:numPr>
        <w:rPr>
          <w:rFonts w:ascii="Arial" w:cs="Arial" w:eastAsia="Arial" w:hAnsi="Arial"/>
          <w:sz w:val="18"/>
          <w:szCs w:val="18"/>
          <w:color w:val="auto"/>
        </w:rPr>
      </w:pPr>
      <w:r>
        <w:rPr>
          <w:rFonts w:ascii="Arial" w:cs="Arial" w:eastAsia="Arial" w:hAnsi="Arial"/>
          <w:sz w:val="18"/>
          <w:szCs w:val="18"/>
          <w:color w:val="auto"/>
        </w:rPr>
        <w:t>Sole power to vote or to direct the vote: 1,367,726</w:t>
      </w:r>
    </w:p>
    <w:p>
      <w:pPr>
        <w:spacing w:after="0" w:line="1" w:lineRule="exact"/>
        <w:rPr>
          <w:rFonts w:ascii="Arial" w:cs="Arial" w:eastAsia="Arial" w:hAnsi="Arial"/>
          <w:sz w:val="18"/>
          <w:szCs w:val="18"/>
          <w:color w:val="auto"/>
        </w:rPr>
      </w:pPr>
    </w:p>
    <w:p>
      <w:pPr>
        <w:ind w:left="2280" w:right="6040" w:hanging="563"/>
        <w:spacing w:after="0" w:line="375" w:lineRule="auto"/>
        <w:tabs>
          <w:tab w:leader="none" w:pos="2280" w:val="left"/>
        </w:tabs>
        <w:numPr>
          <w:ilvl w:val="1"/>
          <w:numId w:val="7"/>
        </w:numPr>
        <w:rPr>
          <w:rFonts w:ascii="Arial" w:cs="Arial" w:eastAsia="Arial" w:hAnsi="Arial"/>
          <w:sz w:val="18"/>
          <w:szCs w:val="18"/>
          <w:color w:val="auto"/>
        </w:rPr>
      </w:pPr>
      <w:r>
        <w:rPr>
          <w:rFonts w:ascii="Arial" w:cs="Arial" w:eastAsia="Arial" w:hAnsi="Arial"/>
          <w:sz w:val="18"/>
          <w:szCs w:val="18"/>
          <w:color w:val="auto"/>
        </w:rPr>
        <w:t>Shared power to vote or to direct the vote: 0</w:t>
      </w:r>
    </w:p>
    <w:p>
      <w:pPr>
        <w:spacing w:after="0" w:line="1" w:lineRule="exact"/>
        <w:rPr>
          <w:rFonts w:ascii="Arial" w:cs="Arial" w:eastAsia="Arial" w:hAnsi="Arial"/>
          <w:sz w:val="18"/>
          <w:szCs w:val="18"/>
          <w:color w:val="auto"/>
        </w:rPr>
      </w:pPr>
    </w:p>
    <w:p>
      <w:pPr>
        <w:ind w:left="2280" w:right="5320" w:hanging="563"/>
        <w:spacing w:after="0" w:line="375" w:lineRule="auto"/>
        <w:tabs>
          <w:tab w:leader="none" w:pos="2280" w:val="left"/>
        </w:tabs>
        <w:numPr>
          <w:ilvl w:val="1"/>
          <w:numId w:val="7"/>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1,367,726</w:t>
      </w:r>
    </w:p>
    <w:p>
      <w:pPr>
        <w:spacing w:after="0" w:line="1" w:lineRule="exact"/>
        <w:rPr>
          <w:rFonts w:ascii="Arial" w:cs="Arial" w:eastAsia="Arial" w:hAnsi="Arial"/>
          <w:sz w:val="18"/>
          <w:szCs w:val="18"/>
          <w:color w:val="auto"/>
        </w:rPr>
      </w:pPr>
    </w:p>
    <w:p>
      <w:pPr>
        <w:ind w:left="2280" w:hanging="563"/>
        <w:spacing w:after="0"/>
        <w:tabs>
          <w:tab w:leader="none" w:pos="2280" w:val="left"/>
        </w:tabs>
        <w:numPr>
          <w:ilvl w:val="1"/>
          <w:numId w:val="7"/>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w:t>
      </w:r>
    </w:p>
    <w:p>
      <w:pPr>
        <w:spacing w:after="0" w:line="117" w:lineRule="exact"/>
        <w:rPr>
          <w:sz w:val="20"/>
          <w:szCs w:val="20"/>
          <w:color w:val="auto"/>
        </w:rPr>
      </w:pPr>
    </w:p>
    <w:p>
      <w:pPr>
        <w:ind w:left="2280"/>
        <w:spacing w:after="0"/>
        <w:rPr>
          <w:sz w:val="20"/>
          <w:szCs w:val="20"/>
          <w:color w:val="auto"/>
        </w:rPr>
      </w:pPr>
      <w:r>
        <w:rPr>
          <w:rFonts w:ascii="Arial" w:cs="Arial" w:eastAsia="Arial" w:hAnsi="Arial"/>
          <w:sz w:val="18"/>
          <w:szCs w:val="18"/>
          <w:color w:val="auto"/>
        </w:rPr>
        <w:t>0</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Instruction</w:t>
      </w:r>
      <w:r>
        <w:rPr>
          <w:rFonts w:ascii="Arial" w:cs="Arial" w:eastAsia="Arial" w:hAnsi="Arial"/>
          <w:sz w:val="18"/>
          <w:szCs w:val="18"/>
          <w:color w:val="auto"/>
        </w:rPr>
        <w:t>. For computations regarding securities which represent a right to acquire an underlying security</w:t>
      </w:r>
      <w:r>
        <w:rPr>
          <w:rFonts w:ascii="Arial" w:cs="Arial" w:eastAsia="Arial" w:hAnsi="Arial"/>
          <w:sz w:val="18"/>
          <w:szCs w:val="18"/>
          <w:i w:val="1"/>
          <w:iCs w:val="1"/>
          <w:color w:val="auto"/>
        </w:rPr>
        <w:t xml:space="preserve"> see </w:t>
      </w:r>
      <w:r>
        <w:rPr>
          <w:rFonts w:ascii="Arial" w:cs="Arial" w:eastAsia="Arial" w:hAnsi="Arial"/>
          <w:sz w:val="18"/>
          <w:szCs w:val="18"/>
          <w:color w:val="auto"/>
        </w:rPr>
        <w:t>§240.13d-3(d)(1).</w:t>
      </w:r>
    </w:p>
    <w:p>
      <w:pPr>
        <w:spacing w:after="0" w:line="200" w:lineRule="exact"/>
        <w:rPr>
          <w:sz w:val="20"/>
          <w:szCs w:val="20"/>
          <w:color w:val="auto"/>
        </w:rPr>
      </w:pPr>
    </w:p>
    <w:p>
      <w:pPr>
        <w:spacing w:after="0" w:line="23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5"/>
          <w:szCs w:val="15"/>
          <w:b w:val="1"/>
          <w:bCs w:val="1"/>
          <w:color w:val="auto"/>
        </w:rPr>
        <w:t>Ownership of Five Percent or Less of a Class.</w:t>
      </w:r>
    </w:p>
    <w:p>
      <w:pPr>
        <w:spacing w:after="0" w:line="200" w:lineRule="exact"/>
        <w:rPr>
          <w:sz w:val="20"/>
          <w:szCs w:val="20"/>
          <w:color w:val="auto"/>
        </w:rPr>
      </w:pPr>
    </w:p>
    <w:p>
      <w:pPr>
        <w:spacing w:after="0" w:line="247"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five percent of the class of securities, check the following o</w:t>
      </w:r>
      <w:r>
        <w:rPr>
          <w:rFonts w:ascii="Arial" w:cs="Arial" w:eastAsia="Arial" w:hAnsi="Arial"/>
          <w:sz w:val="21"/>
          <w:szCs w:val="21"/>
          <w:color w:val="auto"/>
        </w:rPr>
        <w:t>.</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Instruction: </w:t>
      </w:r>
      <w:r>
        <w:rPr>
          <w:rFonts w:ascii="Arial" w:cs="Arial" w:eastAsia="Arial" w:hAnsi="Arial"/>
          <w:sz w:val="18"/>
          <w:szCs w:val="18"/>
          <w:color w:val="auto"/>
        </w:rPr>
        <w:t>Dissolution of a group requires a response to this item.</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color w:val="auto"/>
        </w:rPr>
        <w:t>Ownership of More than Five Percent on Behalf of Another Person.</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3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5"/>
          <w:szCs w:val="15"/>
          <w:b w:val="1"/>
          <w:bCs w:val="1"/>
          <w:color w:val="auto"/>
        </w:rPr>
        <w:t>Identification and Classification of the Subsidiary Which Acquired the Security Being Reported on By the Parent Holding Company.</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3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5"/>
          <w:szCs w:val="15"/>
          <w:b w:val="1"/>
          <w:bCs w:val="1"/>
          <w:color w:val="auto"/>
        </w:rPr>
        <w:t>Identification and Classification of Members of the Group.</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3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5"/>
          <w:szCs w:val="15"/>
          <w:b w:val="1"/>
          <w:bCs w:val="1"/>
          <w:color w:val="auto"/>
        </w:rPr>
        <w:t>Notice of Dissolution of Group.</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 of 5</w:t>
      </w:r>
    </w:p>
    <w:p>
      <w:pPr>
        <w:spacing w:after="0" w:line="381"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Certification.</w:t>
      </w:r>
    </w:p>
    <w:p>
      <w:pPr>
        <w:spacing w:after="0" w:line="137" w:lineRule="exact"/>
        <w:rPr>
          <w:sz w:val="20"/>
          <w:szCs w:val="20"/>
          <w:color w:val="auto"/>
        </w:rPr>
      </w:pPr>
    </w:p>
    <w:p>
      <w:pPr>
        <w:ind w:left="2280" w:hanging="1130"/>
        <w:spacing w:after="0"/>
        <w:tabs>
          <w:tab w:leader="none" w:pos="2280" w:val="left"/>
        </w:tabs>
        <w:numPr>
          <w:ilvl w:val="0"/>
          <w:numId w:val="8"/>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130" w:lineRule="exact"/>
        <w:rPr>
          <w:rFonts w:ascii="Arial" w:cs="Arial" w:eastAsia="Arial" w:hAnsi="Arial"/>
          <w:sz w:val="18"/>
          <w:szCs w:val="18"/>
          <w:color w:val="auto"/>
        </w:rPr>
      </w:pPr>
    </w:p>
    <w:p>
      <w:pPr>
        <w:ind w:left="2280" w:hanging="1130"/>
        <w:spacing w:after="0" w:line="370" w:lineRule="auto"/>
        <w:tabs>
          <w:tab w:leader="none" w:pos="2280" w:val="left"/>
        </w:tabs>
        <w:numPr>
          <w:ilvl w:val="0"/>
          <w:numId w:val="8"/>
        </w:numPr>
        <w:rPr>
          <w:rFonts w:ascii="Arial" w:cs="Arial" w:eastAsia="Arial" w:hAnsi="Arial"/>
          <w:sz w:val="15"/>
          <w:szCs w:val="15"/>
          <w:color w:val="auto"/>
        </w:rPr>
      </w:pPr>
      <w:r>
        <w:rPr>
          <w:rFonts w:ascii="Arial" w:cs="Arial" w:eastAsia="Arial" w:hAnsi="Arial"/>
          <w:sz w:val="15"/>
          <w:szCs w:val="15"/>
          <w:color w:val="auto"/>
        </w:rPr>
        <w:t>By signing below I certify that, to the best of my knowledge and belief, the securities referred to above were not acquired and are not held for the purpose of or with the effect of changing the control of the issuer of the securities and were not acquired and</w:t>
      </w:r>
    </w:p>
    <w:p>
      <w:pPr>
        <w:sectPr>
          <w:pgSz w:w="11900" w:h="16908" w:orient="portrait"/>
          <w:cols w:equalWidth="0" w:num="1">
            <w:col w:w="11280"/>
          </w:cols>
          <w:pgMar w:left="300" w:top="941" w:right="319" w:bottom="0" w:gutter="0" w:footer="0" w:header="0"/>
        </w:sectPr>
      </w:pPr>
    </w:p>
    <w:bookmarkStart w:id="5" w:name="page6"/>
    <w:bookmarkEnd w:id="5"/>
    <w:p>
      <w:pPr>
        <w:ind w:left="1140"/>
        <w:spacing w:after="0"/>
        <w:rPr>
          <w:sz w:val="20"/>
          <w:szCs w:val="20"/>
          <w:color w:val="auto"/>
        </w:rPr>
      </w:pPr>
      <w:r>
        <w:rPr>
          <w:rFonts w:ascii="Arial" w:cs="Arial" w:eastAsia="Arial" w:hAnsi="Arial"/>
          <w:sz w:val="15"/>
          <w:szCs w:val="15"/>
          <w:color w:val="auto"/>
        </w:rPr>
        <w:t>are not held in connection with or as a participant in any transaction having that purpose or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202565</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131" w:right="1440"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color w:val="auto"/>
        </w:rPr>
        <w:t>13G</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258" w:lineRule="exact"/>
        <w:rPr>
          <w:sz w:val="20"/>
          <w:szCs w:val="20"/>
          <w:color w:val="auto"/>
        </w:rPr>
      </w:pPr>
    </w:p>
    <w:p>
      <w:pPr>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48" w:lineRule="exact"/>
        <w:rPr>
          <w:sz w:val="20"/>
          <w:szCs w:val="20"/>
          <w:color w:val="auto"/>
        </w:rPr>
      </w:pPr>
    </w:p>
    <w:tbl>
      <w:tblPr>
        <w:tblLayout w:type="fixed"/>
        <w:tblInd w:w="5500" w:type="dxa"/>
        <w:tblCellMar>
          <w:top w:w="0" w:type="dxa"/>
          <w:left w:w="0" w:type="dxa"/>
          <w:bottom w:w="0" w:type="dxa"/>
          <w:right w:w="0" w:type="dxa"/>
        </w:tblCellMar>
      </w:tblPr>
      <w:tr>
        <w:trPr>
          <w:trHeight w:val="222"/>
        </w:trPr>
        <w:tc>
          <w:tcPr>
            <w:tcW w:w="2200" w:type="dxa"/>
            <w:vAlign w:val="bottom"/>
          </w:tcPr>
          <w:p>
            <w:pPr>
              <w:ind w:left="1360"/>
              <w:spacing w:after="0"/>
              <w:rPr>
                <w:sz w:val="20"/>
                <w:szCs w:val="20"/>
                <w:color w:val="auto"/>
              </w:rPr>
            </w:pPr>
            <w:r>
              <w:rPr>
                <w:rFonts w:ascii="Arial" w:cs="Arial" w:eastAsia="Arial" w:hAnsi="Arial"/>
                <w:sz w:val="18"/>
                <w:szCs w:val="18"/>
                <w:color w:val="auto"/>
              </w:rPr>
              <w:t>Date:</w:t>
            </w:r>
          </w:p>
        </w:tc>
        <w:tc>
          <w:tcPr>
            <w:tcW w:w="3720" w:type="dxa"/>
            <w:vAlign w:val="bottom"/>
          </w:tcPr>
          <w:p>
            <w:pPr>
              <w:spacing w:after="0"/>
              <w:rPr>
                <w:sz w:val="20"/>
                <w:szCs w:val="20"/>
                <w:color w:val="auto"/>
              </w:rPr>
            </w:pPr>
            <w:r>
              <w:rPr>
                <w:rFonts w:ascii="Arial" w:cs="Arial" w:eastAsia="Arial" w:hAnsi="Arial"/>
                <w:sz w:val="18"/>
                <w:szCs w:val="18"/>
                <w:color w:val="auto"/>
              </w:rPr>
              <w:t>February 13, 2003</w:t>
            </w:r>
          </w:p>
        </w:tc>
      </w:tr>
      <w:tr>
        <w:trPr>
          <w:trHeight w:val="432"/>
        </w:trPr>
        <w:tc>
          <w:tcPr>
            <w:tcW w:w="2200" w:type="dxa"/>
            <w:vAlign w:val="bottom"/>
          </w:tcPr>
          <w:p>
            <w:pPr>
              <w:ind w:left="1360"/>
              <w:spacing w:after="0"/>
              <w:rPr>
                <w:sz w:val="20"/>
                <w:szCs w:val="20"/>
                <w:color w:val="auto"/>
              </w:rPr>
            </w:pPr>
            <w:r>
              <w:rPr>
                <w:rFonts w:ascii="Arial" w:cs="Arial" w:eastAsia="Arial" w:hAnsi="Arial"/>
                <w:sz w:val="18"/>
                <w:szCs w:val="18"/>
                <w:color w:val="auto"/>
              </w:rPr>
              <w:t>By:</w:t>
            </w:r>
          </w:p>
        </w:tc>
        <w:tc>
          <w:tcPr>
            <w:tcW w:w="3720" w:type="dxa"/>
            <w:vAlign w:val="bottom"/>
          </w:tcPr>
          <w:p>
            <w:pPr>
              <w:spacing w:after="0"/>
              <w:rPr>
                <w:sz w:val="20"/>
                <w:szCs w:val="20"/>
                <w:color w:val="auto"/>
              </w:rPr>
            </w:pPr>
            <w:r>
              <w:rPr>
                <w:rFonts w:ascii="Arial" w:cs="Arial" w:eastAsia="Arial" w:hAnsi="Arial"/>
                <w:sz w:val="18"/>
                <w:szCs w:val="18"/>
                <w:color w:val="auto"/>
              </w:rPr>
              <w:t>/s/ Lecil E. Cole</w:t>
            </w:r>
          </w:p>
        </w:tc>
      </w:tr>
      <w:tr>
        <w:trPr>
          <w:trHeight w:val="97"/>
        </w:trPr>
        <w:tc>
          <w:tcPr>
            <w:tcW w:w="2200" w:type="dxa"/>
            <w:vAlign w:val="bottom"/>
          </w:tcPr>
          <w:p>
            <w:pPr>
              <w:spacing w:after="0"/>
              <w:rPr>
                <w:sz w:val="8"/>
                <w:szCs w:val="8"/>
                <w:color w:val="auto"/>
              </w:rPr>
            </w:pPr>
          </w:p>
        </w:tc>
        <w:tc>
          <w:tcPr>
            <w:tcW w:w="3720" w:type="dxa"/>
            <w:vAlign w:val="bottom"/>
            <w:tcBorders>
              <w:bottom w:val="single" w:sz="8" w:color="808080"/>
            </w:tcBorders>
          </w:tcPr>
          <w:p>
            <w:pPr>
              <w:spacing w:after="0"/>
              <w:rPr>
                <w:sz w:val="8"/>
                <w:szCs w:val="8"/>
                <w:color w:val="auto"/>
              </w:rPr>
            </w:pPr>
          </w:p>
        </w:tc>
      </w:tr>
      <w:tr>
        <w:trPr>
          <w:trHeight w:val="282"/>
        </w:trPr>
        <w:tc>
          <w:tcPr>
            <w:tcW w:w="2200" w:type="dxa"/>
            <w:vAlign w:val="bottom"/>
          </w:tcPr>
          <w:p>
            <w:pPr>
              <w:ind w:left="1360"/>
              <w:spacing w:after="0"/>
              <w:rPr>
                <w:sz w:val="20"/>
                <w:szCs w:val="20"/>
                <w:color w:val="auto"/>
              </w:rPr>
            </w:pPr>
            <w:r>
              <w:rPr>
                <w:rFonts w:ascii="Arial" w:cs="Arial" w:eastAsia="Arial" w:hAnsi="Arial"/>
                <w:sz w:val="18"/>
                <w:szCs w:val="18"/>
                <w:color w:val="auto"/>
              </w:rPr>
              <w:t>Name:</w:t>
            </w:r>
          </w:p>
        </w:tc>
        <w:tc>
          <w:tcPr>
            <w:tcW w:w="3720" w:type="dxa"/>
            <w:vAlign w:val="bottom"/>
          </w:tcPr>
          <w:p>
            <w:pPr>
              <w:spacing w:after="0"/>
              <w:rPr>
                <w:sz w:val="20"/>
                <w:szCs w:val="20"/>
                <w:color w:val="auto"/>
              </w:rPr>
            </w:pPr>
            <w:r>
              <w:rPr>
                <w:rFonts w:ascii="Arial" w:cs="Arial" w:eastAsia="Arial" w:hAnsi="Arial"/>
                <w:sz w:val="18"/>
                <w:szCs w:val="18"/>
                <w:color w:val="auto"/>
              </w:rPr>
              <w:t>Lecil E. Cole</w:t>
            </w:r>
          </w:p>
        </w:tc>
      </w:tr>
      <w:tr>
        <w:trPr>
          <w:trHeight w:val="222"/>
        </w:trPr>
        <w:tc>
          <w:tcPr>
            <w:tcW w:w="2200" w:type="dxa"/>
            <w:vAlign w:val="bottom"/>
          </w:tcPr>
          <w:p>
            <w:pPr>
              <w:ind w:left="1360"/>
              <w:spacing w:after="0"/>
              <w:rPr>
                <w:sz w:val="20"/>
                <w:szCs w:val="20"/>
                <w:color w:val="auto"/>
              </w:rPr>
            </w:pPr>
            <w:r>
              <w:rPr>
                <w:rFonts w:ascii="Arial" w:cs="Arial" w:eastAsia="Arial" w:hAnsi="Arial"/>
                <w:sz w:val="18"/>
                <w:szCs w:val="18"/>
                <w:color w:val="auto"/>
              </w:rPr>
              <w:t>Title:</w:t>
            </w:r>
          </w:p>
        </w:tc>
        <w:tc>
          <w:tcPr>
            <w:tcW w:w="3720" w:type="dxa"/>
            <w:vAlign w:val="bottom"/>
          </w:tcPr>
          <w:p>
            <w:pPr>
              <w:spacing w:after="0"/>
              <w:rPr>
                <w:sz w:val="19"/>
                <w:szCs w:val="19"/>
                <w:color w:val="auto"/>
              </w:rPr>
            </w:pPr>
          </w:p>
        </w:tc>
      </w:tr>
      <w:tr>
        <w:trPr>
          <w:trHeight w:val="891"/>
        </w:trPr>
        <w:tc>
          <w:tcPr>
            <w:tcW w:w="2200" w:type="dxa"/>
            <w:vAlign w:val="bottom"/>
          </w:tcPr>
          <w:p>
            <w:pPr>
              <w:spacing w:after="0"/>
              <w:rPr>
                <w:sz w:val="20"/>
                <w:szCs w:val="20"/>
                <w:color w:val="auto"/>
              </w:rPr>
            </w:pPr>
            <w:r>
              <w:rPr>
                <w:rFonts w:ascii="Arial" w:cs="Arial" w:eastAsia="Arial" w:hAnsi="Arial"/>
                <w:sz w:val="18"/>
                <w:szCs w:val="18"/>
                <w:color w:val="auto"/>
              </w:rPr>
              <w:t>5 of 5</w:t>
            </w:r>
          </w:p>
        </w:tc>
        <w:tc>
          <w:tcPr>
            <w:tcW w:w="3720" w:type="dxa"/>
            <w:vAlign w:val="bottom"/>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420"/>
      </w:cols>
      <w:pgMar w:left="240" w:top="94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1."/>
      <w:numFmt w:val="decimal"/>
      <w:start w:val="2"/>
    </w:lvl>
    <w:lvl w:ilvl="1">
      <w:lvlJc w:val="left"/>
      <w:lvlText w:val="(%2)"/>
      <w:numFmt w:val="lowerLetter"/>
      <w:start w:val="1"/>
    </w:lvl>
  </w:abstractNum>
  <w:abstractNum w:abstractNumId="2">
    <w:nsid w:val="3D1B58BA"/>
    <w:multiLevelType w:val="hybridMultilevel"/>
    <w:lvl w:ilvl="0">
      <w:lvlJc w:val="left"/>
      <w:lvlText w:val="%1"/>
      <w:numFmt w:val="decimal"/>
      <w:start w:val="1"/>
    </w:lvl>
    <w:lvl w:ilvl="1">
      <w:lvlJc w:val="left"/>
      <w:lvlText w:val="%2."/>
      <w:numFmt w:val="decimal"/>
      <w:start w:val="8"/>
    </w:lvl>
  </w:abstractNum>
  <w:abstractNum w:abstractNumId="3">
    <w:nsid w:val="507ED7AB"/>
    <w:multiLevelType w:val="hybridMultilevel"/>
    <w:lvl w:ilvl="0">
      <w:lvlJc w:val="left"/>
      <w:lvlText w:val="%1."/>
      <w:numFmt w:val="decimal"/>
      <w:start w:val="9"/>
    </w:lvl>
    <w:lvl w:ilvl="1">
      <w:lvlJc w:val="left"/>
      <w:lvlText w:val="%2"/>
      <w:numFmt w:val="decimal"/>
      <w:start w:val="1"/>
    </w:lvl>
  </w:abstractNum>
  <w:abstractNum w:abstractNumId="4">
    <w:nsid w:val="2EB141F2"/>
    <w:multiLevelType w:val="hybridMultilevel"/>
    <w:lvl w:ilvl="0">
      <w:lvlJc w:val="left"/>
      <w:lvlText w:val="(%1)"/>
      <w:numFmt w:val="lowerLetter"/>
      <w:start w:val="1"/>
    </w:lvl>
  </w:abstractNum>
  <w:abstractNum w:abstractNumId="5">
    <w:nsid w:val="41B71EFB"/>
    <w:multiLevelType w:val="hybridMultilevel"/>
    <w:lvl w:ilvl="0">
      <w:lvlJc w:val="left"/>
      <w:lvlText w:val="(%1)"/>
      <w:numFmt w:val="lowerLetter"/>
      <w:start w:val="1"/>
    </w:lvl>
  </w:abstractNum>
  <w:abstractNum w:abstractNumId="6">
    <w:nsid w:val="79E2A9E3"/>
    <w:multiLevelType w:val="hybridMultilevel"/>
    <w:lvl w:ilvl="0">
      <w:lvlJc w:val="left"/>
      <w:lvlText w:val="(%1)"/>
      <w:numFmt w:val="lowerLetter"/>
      <w:start w:val="1"/>
    </w:lvl>
    <w:lvl w:ilvl="1">
      <w:lvlJc w:val="left"/>
      <w:lvlText w:val="(%2)"/>
      <w:numFmt w:val="lowerRoman"/>
      <w:start w:val="1"/>
    </w:lvl>
  </w:abstractNum>
  <w:abstractNum w:abstractNumId="7">
    <w:nsid w:val="7545E146"/>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2020-02-17T00:02:26Z</dcterms:created>
  <dcterms:modified xsi:type="dcterms:W3CDTF">2020-02-17T00:02:26Z</dcterms:modified>
</cp:coreProperties>
</file>