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195580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182880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0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176530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1820" w:type="dxa"/>
            <w:vAlign w:val="bottom"/>
          </w:tcPr>
          <w:p>
            <w:pPr>
              <w:jc w:val="center"/>
              <w:ind w:right="22"/>
              <w:spacing w:after="0"/>
              <w:rPr>
                <w:sz w:val="20"/>
                <w:szCs w:val="20"/>
                <w:color w:val="auto"/>
              </w:rPr>
            </w:pPr>
            <w:r>
              <w:rPr>
                <w:rFonts w:ascii="Arial" w:cs="Arial" w:eastAsia="Arial" w:hAnsi="Arial"/>
                <w:sz w:val="18"/>
                <w:szCs w:val="18"/>
                <w:b w:val="1"/>
                <w:bCs w:val="1"/>
                <w:color w:val="auto"/>
                <w:w w:val="96"/>
              </w:rPr>
              <w:t>California</w:t>
            </w:r>
          </w:p>
        </w:tc>
        <w:tc>
          <w:tcPr>
            <w:tcW w:w="5580" w:type="dxa"/>
            <w:vAlign w:val="bottom"/>
          </w:tcPr>
          <w:p>
            <w:pPr>
              <w:ind w:left="2380"/>
              <w:spacing w:after="0"/>
              <w:rPr>
                <w:sz w:val="20"/>
                <w:szCs w:val="20"/>
                <w:color w:val="auto"/>
              </w:rPr>
            </w:pPr>
            <w:r>
              <w:rPr>
                <w:rFonts w:ascii="Arial" w:cs="Arial" w:eastAsia="Arial" w:hAnsi="Arial"/>
                <w:sz w:val="18"/>
                <w:szCs w:val="18"/>
                <w:b w:val="1"/>
                <w:bCs w:val="1"/>
                <w:color w:val="auto"/>
              </w:rPr>
              <w:t>000-33385</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33-0945304</w:t>
            </w:r>
          </w:p>
        </w:tc>
      </w:tr>
      <w:tr>
        <w:trPr>
          <w:trHeight w:val="149"/>
        </w:trPr>
        <w:tc>
          <w:tcPr>
            <w:tcW w:w="1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5580" w:type="dxa"/>
            <w:vAlign w:val="bottom"/>
          </w:tcPr>
          <w:p>
            <w:pPr>
              <w:ind w:left="2360"/>
              <w:spacing w:after="0" w:line="149" w:lineRule="exact"/>
              <w:rPr>
                <w:sz w:val="20"/>
                <w:szCs w:val="20"/>
                <w:color w:val="auto"/>
              </w:rPr>
            </w:pPr>
            <w:r>
              <w:rPr>
                <w:rFonts w:ascii="Arial" w:cs="Arial" w:eastAsia="Arial" w:hAnsi="Arial"/>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82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of Incorporation)</w:t>
            </w:r>
          </w:p>
        </w:tc>
        <w:tc>
          <w:tcPr>
            <w:tcW w:w="5580" w:type="dxa"/>
            <w:vAlign w:val="bottom"/>
          </w:tcPr>
          <w:p>
            <w:pPr>
              <w:ind w:left="2340"/>
              <w:spacing w:after="0"/>
              <w:rPr>
                <w:sz w:val="20"/>
                <w:szCs w:val="20"/>
                <w:color w:val="auto"/>
              </w:rPr>
            </w:pPr>
            <w:r>
              <w:rPr>
                <w:rFonts w:ascii="Arial" w:cs="Arial" w:eastAsia="Arial" w:hAnsi="Arial"/>
                <w:sz w:val="14"/>
                <w:szCs w:val="14"/>
                <w:b w:val="1"/>
                <w:bCs w:val="1"/>
                <w:color w:val="auto"/>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340"/>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8"/>
                <w:szCs w:val="18"/>
                <w:b w:val="1"/>
                <w:bCs w:val="1"/>
                <w:color w:val="auto"/>
                <w:w w:val="91"/>
              </w:rPr>
              <w:t>1141-A Cummings Road, Santa Paula, California 93060</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5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420" w:type="dxa"/>
            <w:vAlign w:val="bottom"/>
          </w:tcPr>
          <w:p>
            <w:pPr>
              <w:spacing w:after="0"/>
              <w:rPr>
                <w:sz w:val="16"/>
                <w:szCs w:val="16"/>
                <w:color w:val="auto"/>
              </w:rPr>
            </w:pPr>
          </w:p>
        </w:tc>
      </w:tr>
      <w:tr>
        <w:trPr>
          <w:trHeight w:val="513"/>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420" w:type="dxa"/>
            <w:vAlign w:val="bottom"/>
          </w:tcPr>
          <w:p>
            <w:pPr>
              <w:spacing w:after="0"/>
              <w:rPr>
                <w:sz w:val="24"/>
                <w:szCs w:val="24"/>
                <w:color w:val="auto"/>
              </w:rPr>
            </w:pPr>
          </w:p>
        </w:tc>
      </w:tr>
      <w:tr>
        <w:trPr>
          <w:trHeight w:val="363"/>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8"/>
                <w:szCs w:val="18"/>
                <w:b w:val="1"/>
                <w:bCs w:val="1"/>
                <w:color w:val="auto"/>
                <w:w w:val="89"/>
              </w:rPr>
              <w:t>Registrant’s telephone number, including area code: (805) 525-1245</w:t>
            </w: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171450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CVGW</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14, 2020, Calavo Growers, Inc completed its previously announced acquisition of SFFI Company, Inc. doing business as Simply Fresh Fruit (SFFI).</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60"/>
          </w:cols>
          <w:pgMar w:left="440" w:top="297" w:right="7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Calavo Growers,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2020-02-21T12:20:02Z</dcterms:created>
  <dcterms:modified xsi:type="dcterms:W3CDTF">2020-02-21T12:20:02Z</dcterms:modified>
</cp:coreProperties>
</file>