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229235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5"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84"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16"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 xml:space="preserve">For the transition period from </w:t>
      </w:r>
      <w:r>
        <w:rPr>
          <w:rFonts w:ascii="Arial" w:cs="Arial" w:eastAsia="Arial" w:hAnsi="Arial"/>
          <w:sz w:val="15"/>
          <w:szCs w:val="15"/>
          <w:b w:val="1"/>
          <w:bCs w:val="1"/>
          <w:u w:val="single" w:color="auto"/>
          <w:color w:val="auto"/>
        </w:rPr>
        <w:t>______________________</w:t>
      </w:r>
      <w:r>
        <w:rPr>
          <w:rFonts w:ascii="Arial" w:cs="Arial" w:eastAsia="Arial" w:hAnsi="Arial"/>
          <w:sz w:val="15"/>
          <w:szCs w:val="15"/>
          <w:b w:val="1"/>
          <w:bCs w:val="1"/>
          <w:color w:val="auto"/>
        </w:rPr>
        <w:t xml:space="preserve"> to </w:t>
      </w:r>
      <w:r>
        <w:rPr>
          <w:rFonts w:ascii="Arial" w:cs="Arial" w:eastAsia="Arial" w:hAnsi="Arial"/>
          <w:sz w:val="15"/>
          <w:szCs w:val="15"/>
          <w:b w:val="1"/>
          <w:bCs w:val="1"/>
          <w:u w:val="single" w:color="auto"/>
          <w:color w:val="auto"/>
        </w:rPr>
        <w:t>______________________</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ectPr>
          <w:pgSz w:w="11900" w:h="16838" w:orient="portrait"/>
          <w:cols w:equalWidth="0" w:num="1">
            <w:col w:w="10220"/>
          </w:cols>
          <w:pgMar w:left="840" w:top="665" w:right="839" w:bottom="1440" w:gutter="0" w:footer="0" w:header="0"/>
        </w:sectPr>
      </w:pPr>
    </w:p>
    <w:p>
      <w:pPr>
        <w:spacing w:after="0" w:line="345"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California</w:t>
      </w:r>
    </w:p>
    <w:p>
      <w:pPr>
        <w:spacing w:after="0" w:line="45" w:lineRule="exact"/>
        <w:rPr>
          <w:sz w:val="24"/>
          <w:szCs w:val="24"/>
          <w:color w:val="auto"/>
        </w:rPr>
      </w:pPr>
    </w:p>
    <w:p>
      <w:pPr>
        <w:ind w:left="1820"/>
        <w:spacing w:after="0"/>
        <w:rPr>
          <w:sz w:val="20"/>
          <w:szCs w:val="20"/>
          <w:color w:val="auto"/>
        </w:rPr>
      </w:pPr>
      <w:r>
        <w:rPr>
          <w:rFonts w:ascii="Arial" w:cs="Arial" w:eastAsia="Arial" w:hAnsi="Arial"/>
          <w:sz w:val="10"/>
          <w:szCs w:val="10"/>
          <w:color w:val="auto"/>
        </w:rPr>
        <w:t>(State or other jurisdiction of</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8" w:lineRule="exact"/>
        <w:rPr>
          <w:sz w:val="24"/>
          <w:szCs w:val="24"/>
          <w:color w:val="auto"/>
        </w:rPr>
      </w:pPr>
    </w:p>
    <w:p>
      <w:pPr>
        <w:jc w:val="center"/>
        <w:ind w:left="-539"/>
        <w:spacing w:after="0"/>
        <w:rPr>
          <w:sz w:val="20"/>
          <w:szCs w:val="20"/>
          <w:color w:val="auto"/>
        </w:rPr>
      </w:pPr>
      <w:r>
        <w:rPr>
          <w:rFonts w:ascii="Arial" w:cs="Arial" w:eastAsia="Arial" w:hAnsi="Arial"/>
          <w:sz w:val="16"/>
          <w:szCs w:val="16"/>
          <w:b w:val="1"/>
          <w:bCs w:val="1"/>
          <w:color w:val="auto"/>
        </w:rPr>
        <w:t>33-0945304</w:t>
      </w:r>
    </w:p>
    <w:p>
      <w:pPr>
        <w:spacing w:after="0" w:line="113" w:lineRule="exact"/>
        <w:rPr>
          <w:sz w:val="24"/>
          <w:szCs w:val="24"/>
          <w:color w:val="auto"/>
        </w:rPr>
      </w:pPr>
    </w:p>
    <w:p>
      <w:pPr>
        <w:jc w:val="right"/>
        <w:ind w:right="1640"/>
        <w:spacing w:after="0"/>
        <w:rPr>
          <w:sz w:val="20"/>
          <w:szCs w:val="20"/>
          <w:color w:val="auto"/>
        </w:rPr>
      </w:pPr>
      <w:r>
        <w:rPr>
          <w:rFonts w:ascii="Arial" w:cs="Arial" w:eastAsia="Arial" w:hAnsi="Arial"/>
          <w:sz w:val="13"/>
          <w:szCs w:val="13"/>
          <w:color w:val="auto"/>
        </w:rPr>
        <w:t>(I.R.S. Employer Identification No.)</w:t>
      </w:r>
    </w:p>
    <w:p>
      <w:pPr>
        <w:spacing w:after="0" w:line="188" w:lineRule="exact"/>
        <w:rPr>
          <w:sz w:val="24"/>
          <w:szCs w:val="24"/>
          <w:color w:val="auto"/>
        </w:rPr>
      </w:pPr>
    </w:p>
    <w:p>
      <w:pPr>
        <w:sectPr>
          <w:pgSz w:w="11900" w:h="16838" w:orient="portrait"/>
          <w:cols w:equalWidth="0" w:num="2">
            <w:col w:w="3300" w:space="420"/>
            <w:col w:w="6500"/>
          </w:cols>
          <w:pgMar w:left="840" w:top="665" w:right="8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620" w:type="dxa"/>
            <w:vAlign w:val="bottom"/>
            <w:gridSpan w:val="5"/>
          </w:tcPr>
          <w:p>
            <w:pPr>
              <w:ind w:left="740"/>
              <w:spacing w:after="0"/>
              <w:rPr>
                <w:sz w:val="20"/>
                <w:szCs w:val="20"/>
                <w:color w:val="auto"/>
              </w:rPr>
            </w:pPr>
            <w:r>
              <w:rPr>
                <w:rFonts w:ascii="Arial" w:cs="Arial" w:eastAsia="Arial" w:hAnsi="Arial"/>
                <w:sz w:val="16"/>
                <w:szCs w:val="16"/>
                <w:b w:val="1"/>
                <w:bCs w:val="1"/>
                <w:color w:val="auto"/>
              </w:rPr>
              <w:t>1141-A Cummings Road, Santa Paula, California</w:t>
            </w:r>
          </w:p>
        </w:tc>
        <w:tc>
          <w:tcPr>
            <w:tcW w:w="3600" w:type="dxa"/>
            <w:vAlign w:val="bottom"/>
          </w:tcPr>
          <w:p>
            <w:pPr>
              <w:ind w:left="880"/>
              <w:spacing w:after="0"/>
              <w:rPr>
                <w:sz w:val="20"/>
                <w:szCs w:val="20"/>
                <w:color w:val="auto"/>
              </w:rPr>
            </w:pPr>
            <w:r>
              <w:rPr>
                <w:rFonts w:ascii="Arial" w:cs="Arial" w:eastAsia="Arial" w:hAnsi="Arial"/>
                <w:sz w:val="16"/>
                <w:szCs w:val="16"/>
                <w:b w:val="1"/>
                <w:bCs w:val="1"/>
                <w:color w:val="auto"/>
              </w:rPr>
              <w:t>93060</w:t>
            </w:r>
          </w:p>
        </w:tc>
      </w:tr>
      <w:tr>
        <w:trPr>
          <w:trHeight w:val="160"/>
        </w:trPr>
        <w:tc>
          <w:tcPr>
            <w:tcW w:w="6620" w:type="dxa"/>
            <w:vAlign w:val="bottom"/>
            <w:gridSpan w:val="5"/>
          </w:tcPr>
          <w:p>
            <w:pPr>
              <w:ind w:left="1500"/>
              <w:spacing w:after="0"/>
              <w:rPr>
                <w:sz w:val="20"/>
                <w:szCs w:val="20"/>
                <w:color w:val="auto"/>
              </w:rPr>
            </w:pPr>
            <w:r>
              <w:rPr>
                <w:rFonts w:ascii="Arial" w:cs="Arial" w:eastAsia="Arial" w:hAnsi="Arial"/>
                <w:sz w:val="13"/>
                <w:szCs w:val="13"/>
                <w:color w:val="auto"/>
              </w:rPr>
              <w:t>(Address of principal executive offices)</w:t>
            </w:r>
          </w:p>
        </w:tc>
        <w:tc>
          <w:tcPr>
            <w:tcW w:w="3600" w:type="dxa"/>
            <w:vAlign w:val="bottom"/>
          </w:tcPr>
          <w:p>
            <w:pPr>
              <w:ind w:left="820"/>
              <w:spacing w:after="0"/>
              <w:rPr>
                <w:sz w:val="20"/>
                <w:szCs w:val="20"/>
                <w:color w:val="auto"/>
              </w:rPr>
            </w:pPr>
            <w:r>
              <w:rPr>
                <w:rFonts w:ascii="Arial" w:cs="Arial" w:eastAsia="Arial" w:hAnsi="Arial"/>
                <w:sz w:val="13"/>
                <w:szCs w:val="13"/>
                <w:color w:val="auto"/>
              </w:rPr>
              <w:t>(Zip Code)</w:t>
            </w:r>
          </w:p>
        </w:tc>
      </w:tr>
      <w:tr>
        <w:trPr>
          <w:trHeight w:val="59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center"/>
              <w:ind w:left="1304"/>
              <w:spacing w:after="0"/>
              <w:rPr>
                <w:sz w:val="20"/>
                <w:szCs w:val="20"/>
                <w:color w:val="auto"/>
              </w:rPr>
            </w:pPr>
            <w:r>
              <w:rPr>
                <w:rFonts w:ascii="Arial" w:cs="Arial" w:eastAsia="Arial" w:hAnsi="Arial"/>
                <w:sz w:val="16"/>
                <w:szCs w:val="16"/>
                <w:b w:val="1"/>
                <w:bCs w:val="1"/>
                <w:color w:val="auto"/>
                <w:w w:val="93"/>
              </w:rPr>
              <w:t>(805) 525-1245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3"/>
          </w:tcPr>
          <w:p>
            <w:pPr>
              <w:jc w:val="center"/>
              <w:ind w:left="784"/>
              <w:spacing w:after="0"/>
              <w:rPr>
                <w:sz w:val="20"/>
                <w:szCs w:val="20"/>
                <w:color w:val="auto"/>
              </w:rPr>
            </w:pPr>
            <w:r>
              <w:rPr>
                <w:rFonts w:ascii="Arial" w:cs="Arial" w:eastAsia="Arial" w:hAnsi="Arial"/>
                <w:sz w:val="13"/>
                <w:szCs w:val="13"/>
                <w:color w:val="auto"/>
                <w:w w:val="87"/>
              </w:rPr>
              <w:t>(Registrant's telephone number, including area code)</w:t>
            </w:r>
          </w:p>
        </w:tc>
        <w:tc>
          <w:tcPr>
            <w:tcW w:w="3600" w:type="dxa"/>
            <w:vAlign w:val="bottom"/>
          </w:tcPr>
          <w:p>
            <w:pPr>
              <w:spacing w:after="0"/>
              <w:rPr>
                <w:sz w:val="13"/>
                <w:szCs w:val="13"/>
                <w:color w:val="auto"/>
              </w:rPr>
            </w:pPr>
          </w:p>
        </w:tc>
      </w:tr>
      <w:tr>
        <w:trPr>
          <w:trHeight w:val="515"/>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center"/>
              <w:ind w:left="764"/>
              <w:spacing w:after="0"/>
              <w:rPr>
                <w:sz w:val="20"/>
                <w:szCs w:val="20"/>
                <w:color w:val="auto"/>
              </w:rPr>
            </w:pPr>
            <w:r>
              <w:rPr>
                <w:rFonts w:ascii="Arial" w:cs="Arial" w:eastAsia="Arial" w:hAnsi="Arial"/>
                <w:sz w:val="16"/>
                <w:szCs w:val="16"/>
                <w:b w:val="1"/>
                <w:bCs w:val="1"/>
                <w:color w:val="auto"/>
                <w:w w:val="92"/>
              </w:rPr>
              <w:t>Not Applicable</w:t>
            </w: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4"/>
              <w:spacing w:after="0"/>
              <w:rPr>
                <w:sz w:val="20"/>
                <w:szCs w:val="20"/>
                <w:color w:val="auto"/>
              </w:rPr>
            </w:pPr>
            <w:r>
              <w:rPr>
                <w:rFonts w:ascii="Arial" w:cs="Arial" w:eastAsia="Arial" w:hAnsi="Arial"/>
                <w:sz w:val="13"/>
                <w:szCs w:val="13"/>
                <w:color w:val="auto"/>
                <w:w w:val="87"/>
              </w:rPr>
              <w:t>(Former name, former address and former fiscal year, if changed since last report)</w:t>
            </w:r>
          </w:p>
        </w:tc>
      </w:tr>
      <w:tr>
        <w:trPr>
          <w:trHeight w:val="45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4"/>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29"/>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Title of each class</w:t>
            </w:r>
          </w:p>
        </w:tc>
        <w:tc>
          <w:tcPr>
            <w:tcW w:w="3880" w:type="dxa"/>
            <w:vAlign w:val="bottom"/>
            <w:gridSpan w:val="3"/>
          </w:tcPr>
          <w:p>
            <w:pPr>
              <w:jc w:val="center"/>
              <w:ind w:right="540"/>
              <w:spacing w:after="0"/>
              <w:rPr>
                <w:sz w:val="20"/>
                <w:szCs w:val="20"/>
                <w:color w:val="auto"/>
              </w:rPr>
            </w:pPr>
            <w:r>
              <w:rPr>
                <w:rFonts w:ascii="Arial" w:cs="Arial" w:eastAsia="Arial" w:hAnsi="Arial"/>
                <w:sz w:val="16"/>
                <w:szCs w:val="16"/>
                <w:color w:val="auto"/>
                <w:w w:val="93"/>
              </w:rPr>
              <w:t>Trading Symbol(s)</w:t>
            </w:r>
          </w:p>
        </w:tc>
        <w:tc>
          <w:tcPr>
            <w:tcW w:w="3600" w:type="dxa"/>
            <w:vAlign w:val="bottom"/>
          </w:tcPr>
          <w:p>
            <w:pPr>
              <w:ind w:left="180"/>
              <w:spacing w:after="0"/>
              <w:rPr>
                <w:sz w:val="20"/>
                <w:szCs w:val="20"/>
                <w:color w:val="auto"/>
              </w:rPr>
            </w:pPr>
            <w:r>
              <w:rPr>
                <w:rFonts w:ascii="Arial" w:cs="Arial" w:eastAsia="Arial" w:hAnsi="Arial"/>
                <w:sz w:val="16"/>
                <w:szCs w:val="16"/>
                <w:color w:val="auto"/>
              </w:rPr>
              <w:t>Name of each exchange on which registered</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r>
      <w:tr>
        <w:trPr>
          <w:trHeight w:val="206"/>
        </w:trPr>
        <w:tc>
          <w:tcPr>
            <w:tcW w:w="2620" w:type="dxa"/>
            <w:vAlign w:val="bottom"/>
            <w:tcBorders>
              <w:top w:val="single" w:sz="8" w:color="auto"/>
            </w:tcBorders>
          </w:tcPr>
          <w:p>
            <w:pPr>
              <w:ind w:left="80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CVGW</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Nasdaq Global Market</w:t>
            </w:r>
          </w:p>
        </w:tc>
      </w:tr>
    </w:tbl>
    <w:p>
      <w:pPr>
        <w:spacing w:after="0" w:line="108"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4"/>
          <w:szCs w:val="24"/>
          <w:color w:val="auto"/>
        </w:rPr>
      </w:pPr>
    </w:p>
    <w:p>
      <w:pPr>
        <w:ind w:right="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202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Registrant's number of shares of common stock outstanding as of April 30, 2021 was 17,683,930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201295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252730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79" w:firstLine="225"/>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2" w:lineRule="exact"/>
        <w:rPr>
          <w:sz w:val="20"/>
          <w:szCs w:val="20"/>
          <w:color w:val="auto"/>
        </w:rPr>
      </w:pPr>
    </w:p>
    <w:p>
      <w:pPr>
        <w:jc w:val="both"/>
        <w:ind w:left="40" w:right="59" w:firstLine="297"/>
        <w:spacing w:after="0" w:line="284"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impact on our food service customers, increased costs that we must incur as a result of COVID-19, the impact of governmental trade restrictions imposed as a result of COVID-19 and the possible adverse impact of COVID-19 on our goodwill and other intangible assets;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w:t>
      </w:r>
    </w:p>
    <w:p>
      <w:pPr>
        <w:spacing w:after="0" w:line="396" w:lineRule="exact"/>
        <w:rPr>
          <w:sz w:val="20"/>
          <w:szCs w:val="20"/>
          <w:color w:val="auto"/>
        </w:rPr>
      </w:pPr>
    </w:p>
    <w:p>
      <w:pPr>
        <w:jc w:val="both"/>
        <w:ind w:left="40" w:right="59" w:firstLine="270"/>
        <w:spacing w:after="0" w:line="286" w:lineRule="auto"/>
        <w:rPr>
          <w:sz w:val="20"/>
          <w:szCs w:val="20"/>
          <w:color w:val="auto"/>
        </w:rPr>
      </w:pPr>
      <w:r>
        <w:rPr>
          <w:rFonts w:ascii="Arial" w:cs="Arial" w:eastAsia="Arial" w:hAnsi="Arial"/>
          <w:sz w:val="16"/>
          <w:szCs w:val="16"/>
          <w:color w:val="auto"/>
        </w:rPr>
        <w:t>For a further discussion of these risks and uncertainties and other risks and uncertainties that we face, please see the risk factors described in our most recent Annual Report on Form 10-K for the fiscal year ended October 31, 2020 filed with the Securities and Exchange Commission and any subsequent updates that may be contained in our Quarterly Reports on Form 10-Q (including this Quarterly Report on Form 10-Q) and other filings with the Securities and Exchange Commission.</w:t>
      </w:r>
    </w:p>
    <w:p>
      <w:pPr>
        <w:spacing w:after="0" w:line="1"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PAGE</w:t>
      </w:r>
    </w:p>
    <w:p>
      <w:pPr>
        <w:spacing w:after="0" w:line="22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52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64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Condensed Balance Sheets – Apr</w:t>
              </w:r>
              <w:r>
                <w:rPr>
                  <w:rFonts w:ascii="Arial" w:cs="Arial" w:eastAsia="Arial" w:hAnsi="Arial"/>
                  <w:sz w:val="17"/>
                  <w:szCs w:val="17"/>
                  <w:color w:val="0000EE"/>
                  <w:w w:val="90"/>
                </w:rPr>
                <w:t>il 30</w:t>
              </w:r>
              <w:r>
                <w:rPr>
                  <w:rFonts w:ascii="Arial" w:cs="Arial" w:eastAsia="Arial" w:hAnsi="Arial"/>
                  <w:sz w:val="16"/>
                  <w:szCs w:val="16"/>
                  <w:color w:val="0000EE"/>
                  <w:w w:val="90"/>
                </w:rPr>
                <w:t>, 2021 and October 31, 2020</w:t>
              </w:r>
            </w:hyperlink>
          </w:p>
        </w:tc>
        <w:tc>
          <w:tcPr>
            <w:tcW w:w="228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6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Consolidated Condensed Statements of Operations – Three a</w:t>
              </w:r>
              <w:r>
                <w:rPr>
                  <w:rFonts w:ascii="Arial" w:cs="Arial" w:eastAsia="Arial" w:hAnsi="Arial"/>
                  <w:sz w:val="17"/>
                  <w:szCs w:val="17"/>
                  <w:color w:val="0000EE"/>
                  <w:w w:val="91"/>
                </w:rPr>
                <w:t>nd Six</w:t>
              </w:r>
              <w:r>
                <w:rPr>
                  <w:rFonts w:ascii="Arial" w:cs="Arial" w:eastAsia="Arial" w:hAnsi="Arial"/>
                  <w:sz w:val="16"/>
                  <w:szCs w:val="16"/>
                  <w:color w:val="0000EE"/>
                  <w:w w:val="91"/>
                </w:rPr>
                <w:t xml:space="preserve"> Months Ended April 30, 2021 and 2020</w:t>
              </w:r>
            </w:hyperlink>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bottom w:val="single" w:sz="8" w:color="0000EE"/>
            </w:tcBorders>
            <w:gridSpan w:val="14"/>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Consolidated Condensed Statements of Cash Flows – Three and Six Months Ended April 30, 2021 and 2020</w:t>
              </w:r>
            </w:hyperlink>
          </w:p>
        </w:tc>
        <w:tc>
          <w:tcPr>
            <w:tcW w:w="48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6"/>
                <w:szCs w:val="16"/>
                <w:color w:val="0000EE"/>
                <w:w w:val="91"/>
              </w:rPr>
            </w:pPr>
            <w:hyperlink w:anchor="page7">
              <w:r>
                <w:rPr>
                  <w:rFonts w:ascii="Arial" w:cs="Arial" w:eastAsia="Arial" w:hAnsi="Arial"/>
                  <w:sz w:val="16"/>
                  <w:szCs w:val="16"/>
                  <w:color w:val="0000EE"/>
                  <w:w w:val="91"/>
                </w:rPr>
                <w:t>Consolidated Condensed Statements of Shareholders’ Equity – Three and Six Months Ended April 30, 2021</w:t>
              </w:r>
            </w:hyperlink>
          </w:p>
        </w:tc>
        <w:tc>
          <w:tcPr>
            <w:tcW w:w="5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16"/>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Consolidated Condensed Financial Statements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1">
              <w:r>
                <w:rPr>
                  <w:rFonts w:ascii="Arial" w:cs="Arial" w:eastAsia="Arial" w:hAnsi="Arial"/>
                  <w:sz w:val="16"/>
                  <w:szCs w:val="16"/>
                  <w:color w:val="0000EE"/>
                  <w:w w:val="93"/>
                </w:rPr>
                <w:t>Item 2.</w:t>
              </w:r>
            </w:hyperlink>
          </w:p>
        </w:tc>
        <w:tc>
          <w:tcPr>
            <w:tcW w:w="280" w:type="dxa"/>
            <w:vAlign w:val="bottom"/>
            <w:gridSpan w:val="2"/>
          </w:tcPr>
          <w:p>
            <w:pPr>
              <w:spacing w:after="0"/>
              <w:rPr>
                <w:sz w:val="24"/>
                <w:szCs w:val="24"/>
                <w:color w:val="auto"/>
              </w:rPr>
            </w:pPr>
          </w:p>
        </w:tc>
        <w:tc>
          <w:tcPr>
            <w:tcW w:w="7520" w:type="dxa"/>
            <w:vAlign w:val="bottom"/>
            <w:gridSpan w:val="16"/>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5"/>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3.</w:t>
              </w:r>
            </w:hyperlink>
          </w:p>
        </w:tc>
        <w:tc>
          <w:tcPr>
            <w:tcW w:w="280" w:type="dxa"/>
            <w:vAlign w:val="bottom"/>
            <w:gridSpan w:val="2"/>
          </w:tcPr>
          <w:p>
            <w:pPr>
              <w:spacing w:after="0"/>
              <w:rPr>
                <w:sz w:val="24"/>
                <w:szCs w:val="24"/>
                <w:color w:val="auto"/>
              </w:rPr>
            </w:pPr>
          </w:p>
        </w:tc>
        <w:tc>
          <w:tcPr>
            <w:tcW w:w="394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Quantitative and Qualitative Disclosures About Market Risk</w:t>
              </w:r>
            </w:hyperlink>
          </w:p>
        </w:tc>
        <w:tc>
          <w:tcPr>
            <w:tcW w:w="1860" w:type="dxa"/>
            <w:vAlign w:val="bottom"/>
            <w:tcBorders>
              <w:top w:val="single" w:sz="8" w:color="0000EE"/>
            </w:tcBorders>
            <w:gridSpan w:val="2"/>
          </w:tcPr>
          <w:p>
            <w:pPr>
              <w:spacing w:after="0"/>
              <w:rPr>
                <w:sz w:val="24"/>
                <w:szCs w:val="24"/>
                <w:color w:val="auto"/>
              </w:rPr>
            </w:pPr>
          </w:p>
        </w:tc>
        <w:tc>
          <w:tcPr>
            <w:tcW w:w="172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85"/>
        </w:trPr>
        <w:tc>
          <w:tcPr>
            <w:tcW w:w="760" w:type="dxa"/>
            <w:vAlign w:val="bottom"/>
            <w:gridSpan w:val="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4.</w:t>
              </w:r>
            </w:hyperlink>
          </w:p>
        </w:tc>
        <w:tc>
          <w:tcPr>
            <w:tcW w:w="752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88"/>
        </w:trPr>
        <w:tc>
          <w:tcPr>
            <w:tcW w:w="250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PART II. OTHER INFORMATION</w:t>
              </w:r>
            </w:hyperlink>
          </w:p>
        </w:tc>
        <w:tc>
          <w:tcPr>
            <w:tcW w:w="57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w:t>
              </w:r>
            </w:hyperlink>
          </w:p>
        </w:tc>
        <w:tc>
          <w:tcPr>
            <w:tcW w:w="280" w:type="dxa"/>
            <w:vAlign w:val="bottom"/>
            <w:gridSpan w:val="2"/>
          </w:tcPr>
          <w:p>
            <w:pPr>
              <w:spacing w:after="0"/>
              <w:rPr>
                <w:sz w:val="24"/>
                <w:szCs w:val="24"/>
                <w:color w:val="auto"/>
              </w:rPr>
            </w:pPr>
          </w:p>
        </w:tc>
        <w:tc>
          <w:tcPr>
            <w:tcW w:w="752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760" w:type="dxa"/>
            <w:vAlign w:val="bottom"/>
            <w:gridSpan w:val="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1A.</w:t>
              </w:r>
            </w:hyperlink>
          </w:p>
        </w:tc>
        <w:tc>
          <w:tcPr>
            <w:tcW w:w="752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Item 2.</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34">
              <w:r>
                <w:rPr>
                  <w:rFonts w:ascii="Arial" w:cs="Arial" w:eastAsia="Arial" w:hAnsi="Arial"/>
                  <w:sz w:val="16"/>
                  <w:szCs w:val="16"/>
                  <w:color w:val="0000EE"/>
                  <w:w w:val="90"/>
                </w:rPr>
                <w:t>Unregistered Sales of Equity Securities and Use of Proceeds</w:t>
              </w:r>
            </w:hyperlink>
          </w:p>
        </w:tc>
        <w:tc>
          <w:tcPr>
            <w:tcW w:w="36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98"/>
        </w:trPr>
        <w:tc>
          <w:tcPr>
            <w:tcW w:w="760" w:type="dxa"/>
            <w:vAlign w:val="bottom"/>
            <w:gridSpan w:val="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6.</w:t>
              </w:r>
            </w:hyperlink>
          </w:p>
        </w:tc>
        <w:tc>
          <w:tcPr>
            <w:tcW w:w="7520" w:type="dxa"/>
            <w:vAlign w:val="bottom"/>
            <w:gridSpan w:val="16"/>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16"/>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Signatures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October 31,</w:t>
            </w:r>
          </w:p>
        </w:tc>
      </w:tr>
      <w:tr>
        <w:trPr>
          <w:trHeight w:val="171"/>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Accounts receivable, net of allowances of $4,338 (2021) and $3,498 (2020)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63,668</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41,787</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10,733</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2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135,895</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130,787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130,270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60,262</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23,197</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10,323</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20" w:type="dxa"/>
            <w:vAlign w:val="bottom"/>
            <w:shd w:val="clear" w:color="auto" w:fill="CCEEFF"/>
          </w:tcPr>
          <w:p>
            <w:pPr>
              <w:spacing w:after="0"/>
              <w:rPr>
                <w:sz w:val="18"/>
                <w:szCs w:val="18"/>
                <w:color w:val="auto"/>
              </w:rPr>
            </w:pPr>
          </w:p>
        </w:tc>
      </w:tr>
      <w:tr>
        <w:trPr>
          <w:trHeight w:val="250"/>
        </w:trPr>
        <w:tc>
          <w:tcPr>
            <w:tcW w:w="68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474,310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429,624</w:t>
            </w:r>
          </w:p>
        </w:tc>
        <w:tc>
          <w:tcPr>
            <w:tcW w:w="20" w:type="dxa"/>
            <w:vAlign w:val="bottom"/>
            <w:tcBorders>
              <w:bottom w:val="single" w:sz="8" w:color="CCEEFF"/>
            </w:tcBorders>
          </w:tcPr>
          <w:p>
            <w:pPr>
              <w:spacing w:after="0"/>
              <w:rPr>
                <w:sz w:val="21"/>
                <w:szCs w:val="21"/>
                <w:color w:val="auto"/>
              </w:rPr>
            </w:pPr>
          </w:p>
        </w:tc>
      </w:tr>
      <w:tr>
        <w:trPr>
          <w:trHeight w:val="197"/>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9,384</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Borrowings pursuant to credit facilities, current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20,550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Current portion of operating leases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6,443</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EEFF"/>
          </w:tcPr>
          <w:p>
            <w:pPr>
              <w:spacing w:after="0"/>
              <w:rPr>
                <w:sz w:val="18"/>
                <w:szCs w:val="18"/>
                <w:color w:val="auto"/>
              </w:rPr>
            </w:pPr>
          </w:p>
        </w:tc>
      </w:tr>
      <w:tr>
        <w:trPr>
          <w:trHeight w:val="209"/>
        </w:trPr>
        <w:tc>
          <w:tcPr>
            <w:tcW w:w="6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106,331</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Borrowings pursuant to credit facilities, long-term</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20" w:type="dxa"/>
            <w:vAlign w:val="bottom"/>
            <w:shd w:val="clear" w:color="auto" w:fill="CCEEFF"/>
          </w:tcPr>
          <w:p>
            <w:pPr>
              <w:spacing w:after="0"/>
              <w:rPr>
                <w:sz w:val="18"/>
                <w:szCs w:val="18"/>
                <w:color w:val="auto"/>
              </w:rPr>
            </w:pPr>
          </w:p>
        </w:tc>
      </w:tr>
      <w:tr>
        <w:trPr>
          <w:trHeight w:val="210"/>
        </w:trPr>
        <w:tc>
          <w:tcPr>
            <w:tcW w:w="686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106,984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67,291</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Common stock ($0.001 par value, 100,000 shares authorized; 17,684 (2021) and 17,661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 shares issued and outstanding)</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0"/>
                <w:szCs w:val="20"/>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166,709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165,000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89,512</w:t>
            </w:r>
          </w:p>
        </w:tc>
        <w:tc>
          <w:tcPr>
            <w:tcW w:w="2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271,742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256,002</w:t>
            </w:r>
          </w:p>
        </w:tc>
        <w:tc>
          <w:tcPr>
            <w:tcW w:w="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474,310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429,624</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497,399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554,516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254,221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259,091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456,960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516,633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(10,349)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w w:val="95"/>
              </w:rPr>
              <w:t>Income (loss) before income taxes and loss from unconsolidated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entities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Net loss attributable to noncontrolling interest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17,679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17,550</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17,543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14,031</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(used) by operating activities: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8,371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7,646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operating lease expense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Net loss from unconsolidated entities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5,205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net gain on Limoneira shares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 on notes to FreshRealm</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(11,579)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(9,327)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(4,460)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7,329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(5,126)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2,844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7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8,264</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(19,554)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(used) by operating activities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10,423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Acquisition of SFFI, net of cash acquired of $623</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(18,396)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FreshRealm</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Infrastructure advance to tomato growers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(8,985)</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(25,810)</w:t>
            </w: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(20,343)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172,600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126,000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(150,900)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(1,179)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7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24,143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1,527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(4,689)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4,055</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7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5,582</w:t>
            </w:r>
          </w:p>
        </w:tc>
        <w:tc>
          <w:tcPr>
            <w:tcW w:w="3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4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Notes receivable from FreshRealm converted to investment in FreshRealm</w:t>
            </w:r>
          </w:p>
        </w:tc>
        <w:tc>
          <w:tcPr>
            <w:tcW w:w="7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2,761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522</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1,056</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42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6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4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2019</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17,595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32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161,606</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122,557</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1,688</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285,869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99"/>
              </w:rPr>
              <w:t>Cumulative effect adjustment on ASC 842 related to leases</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1,165</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931</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(938)</w:t>
            </w:r>
          </w:p>
        </w:tc>
      </w:tr>
      <w:tr>
        <w:trPr>
          <w:trHeight w:val="169"/>
        </w:trPr>
        <w:tc>
          <w:tcPr>
            <w:tcW w:w="34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January 31, 2020</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17,614</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162,584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122,784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1,625</w:t>
            </w: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287,011</w:t>
            </w:r>
          </w:p>
        </w:tc>
      </w:tr>
      <w:tr>
        <w:trPr>
          <w:trHeight w:val="115"/>
        </w:trPr>
        <w:tc>
          <w:tcPr>
            <w:tcW w:w="3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Exercise of stock options and income tax benefit</w:t>
            </w: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1,119</w:t>
            </w: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Payments of minimum withholding taxes on net share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9"/>
        </w:trPr>
        <w:tc>
          <w:tcPr>
            <w:tcW w:w="3420" w:type="dxa"/>
            <w:vAlign w:val="bottom"/>
          </w:tcPr>
          <w:p>
            <w:pPr>
              <w:spacing w:after="0"/>
              <w:rPr>
                <w:sz w:val="20"/>
                <w:szCs w:val="20"/>
                <w:color w:val="auto"/>
              </w:rPr>
            </w:pPr>
            <w:r>
              <w:rPr>
                <w:rFonts w:ascii="Arial" w:cs="Arial" w:eastAsia="Arial" w:hAnsi="Arial"/>
                <w:sz w:val="13"/>
                <w:szCs w:val="13"/>
                <w:color w:val="auto"/>
              </w:rPr>
              <w:t>settlement of equity awards</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(1,179)</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(3,278)</w:t>
            </w:r>
          </w:p>
        </w:tc>
      </w:tr>
      <w:tr>
        <w:trPr>
          <w:trHeight w:val="128"/>
        </w:trPr>
        <w:tc>
          <w:tcPr>
            <w:tcW w:w="34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April 30, 2020</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17,639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119,506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2"/>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284,250</w:t>
            </w:r>
          </w:p>
        </w:tc>
      </w:tr>
      <w:tr>
        <w:trPr>
          <w:trHeight w:val="20"/>
        </w:trPr>
        <w:tc>
          <w:tcPr>
            <w:tcW w:w="3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Paid-in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Retained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Earnings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2020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17,661</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165,000</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89,512</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1,472</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256,002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Payment of min. withholding of taxes on net share settlement</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of equity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907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5,277</w:t>
            </w:r>
          </w:p>
        </w:tc>
        <w:tc>
          <w:tcPr>
            <w:tcW w:w="0" w:type="dxa"/>
            <w:vAlign w:val="bottom"/>
          </w:tcPr>
          <w:p>
            <w:pPr>
              <w:spacing w:after="0"/>
              <w:rPr>
                <w:sz w:val="1"/>
                <w:szCs w:val="1"/>
                <w:color w:val="auto"/>
              </w:rPr>
            </w:pPr>
          </w:p>
        </w:tc>
      </w:tr>
      <w:tr>
        <w:trPr>
          <w:trHeight w:val="168"/>
        </w:trPr>
        <w:tc>
          <w:tcPr>
            <w:tcW w:w="3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January 31, 2021</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17,686</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165,487</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94,789</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261,726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Exercise of stock options and income tax benefit</w:t>
            </w: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1,357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Payments of minimum withholding taxes on net share</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settlement of equity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8,841</w:t>
            </w:r>
          </w:p>
        </w:tc>
        <w:tc>
          <w:tcPr>
            <w:tcW w:w="0" w:type="dxa"/>
            <w:vAlign w:val="bottom"/>
          </w:tcPr>
          <w:p>
            <w:pPr>
              <w:spacing w:after="0"/>
              <w:rPr>
                <w:sz w:val="1"/>
                <w:szCs w:val="1"/>
                <w:color w:val="auto"/>
              </w:rPr>
            </w:pPr>
          </w:p>
        </w:tc>
      </w:tr>
      <w:tr>
        <w:trPr>
          <w:trHeight w:val="129"/>
        </w:trPr>
        <w:tc>
          <w:tcPr>
            <w:tcW w:w="3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April 30, 2021</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17,684</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166,709</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103,630</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66" w:lineRule="exact"/>
        <w:rPr>
          <w:sz w:val="20"/>
          <w:szCs w:val="20"/>
          <w:color w:val="auto"/>
        </w:rPr>
      </w:pPr>
    </w:p>
    <w:p>
      <w:pPr>
        <w:ind w:left="40" w:right="159" w:firstLine="259"/>
        <w:spacing w:after="0" w:line="269"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159" w:firstLine="225"/>
        <w:spacing w:after="0" w:line="255" w:lineRule="auto"/>
        <w:rPr>
          <w:sz w:val="20"/>
          <w:szCs w:val="20"/>
          <w:color w:val="auto"/>
        </w:rPr>
      </w:pPr>
      <w:r>
        <w:rPr>
          <w:rFonts w:ascii="Arial" w:cs="Arial" w:eastAsia="Arial" w:hAnsi="Arial"/>
          <w:sz w:val="18"/>
          <w:szCs w:val="18"/>
          <w:color w:val="auto"/>
        </w:rPr>
        <w:t xml:space="preserve">In October 2018, the Financial Accounting Standards Board (FASB) issued Accounting Standards Updated (ASU) 2018-17, </w:t>
      </w:r>
      <w:r>
        <w:rPr>
          <w:rFonts w:ascii="Arial" w:cs="Arial" w:eastAsia="Arial" w:hAnsi="Arial"/>
          <w:sz w:val="18"/>
          <w:szCs w:val="18"/>
          <w:i w:val="1"/>
          <w:iCs w:val="1"/>
          <w:color w:val="auto"/>
        </w:rPr>
        <w:t>Targeted Improvements to Related Party Guidance for Variable Interest Entities</w:t>
      </w:r>
      <w:r>
        <w:rPr>
          <w:rFonts w:ascii="Arial" w:cs="Arial" w:eastAsia="Arial" w:hAnsi="Arial"/>
          <w:sz w:val="18"/>
          <w:szCs w:val="18"/>
          <w:color w:val="auto"/>
        </w:rPr>
        <w:t>. This ASU provides that indirect interests held through related parties in common control arrangements should be considered on a proportional basis for determining whether fees paid to decision makers and service providers are variable interests. This ASU was effective for us beginning the first day of our 2021 fiscal year. The adoption of this ASU did not have an impact on the Company’s consolidated financial statements.</w:t>
      </w:r>
    </w:p>
    <w:p>
      <w:pPr>
        <w:spacing w:after="0" w:line="192" w:lineRule="exact"/>
        <w:rPr>
          <w:sz w:val="20"/>
          <w:szCs w:val="20"/>
          <w:color w:val="auto"/>
        </w:rPr>
      </w:pPr>
    </w:p>
    <w:p>
      <w:pPr>
        <w:ind w:left="40" w:right="99" w:firstLine="180"/>
        <w:spacing w:after="0" w:line="271" w:lineRule="auto"/>
        <w:rPr>
          <w:sz w:val="20"/>
          <w:szCs w:val="20"/>
          <w:color w:val="auto"/>
        </w:rPr>
      </w:pPr>
      <w:r>
        <w:rPr>
          <w:rFonts w:ascii="Arial" w:cs="Arial" w:eastAsia="Arial" w:hAnsi="Arial"/>
          <w:sz w:val="17"/>
          <w:szCs w:val="17"/>
          <w:color w:val="auto"/>
        </w:rPr>
        <w:t>On November 1, 2020, the Company adopted an ASU</w:t>
      </w:r>
      <w:r>
        <w:rPr>
          <w:rFonts w:ascii="Arial" w:cs="Arial" w:eastAsia="Arial" w:hAnsi="Arial"/>
          <w:sz w:val="17"/>
          <w:szCs w:val="17"/>
          <w:i w:val="1"/>
          <w:iCs w:val="1"/>
          <w:color w:val="auto"/>
        </w:rPr>
        <w:t>, Intangibles-Goodwill and Other-Internal-Use Software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350-40): Customer’s Accounting for Implementation Costs Incurred in a Cloud Computing Arrangement That Is a Service Contract. </w:t>
      </w:r>
      <w:r>
        <w:rPr>
          <w:rFonts w:ascii="Arial" w:cs="Arial" w:eastAsia="Arial" w:hAnsi="Arial"/>
          <w:sz w:val="17"/>
          <w:szCs w:val="17"/>
          <w:color w:val="auto"/>
        </w:rPr>
        <w:t>This update provides guidance regarding the capitalization of implementation costs incurred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that is a service contract. This ASU was adopted prospectively and cloud computing implementation costs incurred on November 1, 2020 or later are included in other noncurrent assets in the consolidated balance sheet and are presented within operating cash flows. As of April 30, 2021, capitalized implementation costs included in other noncurrent assets were less than $0.1 million and there was no accumulated amortization or amortization expense recorded during the three and six months ended April 30, 2021.</w:t>
      </w:r>
    </w:p>
    <w:p>
      <w:pPr>
        <w:spacing w:after="0" w:line="178" w:lineRule="exact"/>
        <w:rPr>
          <w:sz w:val="20"/>
          <w:szCs w:val="20"/>
          <w:color w:val="auto"/>
        </w:rPr>
      </w:pPr>
    </w:p>
    <w:p>
      <w:pPr>
        <w:ind w:left="40" w:right="99" w:firstLine="259"/>
        <w:spacing w:after="0" w:line="291" w:lineRule="auto"/>
        <w:rPr>
          <w:sz w:val="20"/>
          <w:szCs w:val="20"/>
          <w:color w:val="auto"/>
        </w:rPr>
      </w:pPr>
      <w:r>
        <w:rPr>
          <w:rFonts w:ascii="Arial" w:cs="Arial" w:eastAsia="Arial" w:hAnsi="Arial"/>
          <w:sz w:val="16"/>
          <w:szCs w:val="16"/>
          <w:color w:val="auto"/>
        </w:rPr>
        <w:t xml:space="preserve">In January 2017, the FASB issued an ASU,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was effective for us beginning the first day of our 2021 fiscal year. The adoption of this ASU did not have an impact on the Company’s consolidated financial statements.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On November 1, 2020, the Company adopted ASU No. 2016-13, </w:t>
      </w:r>
      <w:r>
        <w:rPr>
          <w:rFonts w:ascii="Arial" w:cs="Arial" w:eastAsia="Arial" w:hAnsi="Arial"/>
          <w:sz w:val="17"/>
          <w:szCs w:val="17"/>
          <w:i w:val="1"/>
          <w:iCs w:val="1"/>
          <w:color w:val="auto"/>
        </w:rPr>
        <w:t>Financial Instruments - Credit Losses (Topic</w:t>
      </w:r>
    </w:p>
    <w:p>
      <w:pPr>
        <w:spacing w:after="0" w:line="35" w:lineRule="exact"/>
        <w:rPr>
          <w:sz w:val="20"/>
          <w:szCs w:val="20"/>
          <w:color w:val="auto"/>
        </w:rPr>
      </w:pPr>
    </w:p>
    <w:p>
      <w:pPr>
        <w:ind w:left="40" w:right="59"/>
        <w:spacing w:after="0" w:line="252" w:lineRule="auto"/>
        <w:rPr>
          <w:sz w:val="20"/>
          <w:szCs w:val="20"/>
          <w:color w:val="auto"/>
        </w:rPr>
      </w:pPr>
      <w:r>
        <w:rPr>
          <w:rFonts w:ascii="Arial" w:cs="Arial" w:eastAsia="Arial" w:hAnsi="Arial"/>
          <w:sz w:val="18"/>
          <w:szCs w:val="18"/>
          <w:i w:val="1"/>
          <w:iCs w:val="1"/>
          <w:color w:val="auto"/>
        </w:rPr>
        <w:t>326)</w:t>
      </w:r>
      <w:r>
        <w:rPr>
          <w:rFonts w:ascii="Arial" w:cs="Arial" w:eastAsia="Arial" w:hAnsi="Arial"/>
          <w:sz w:val="18"/>
          <w:szCs w:val="18"/>
          <w:color w:val="auto"/>
        </w:rPr>
        <w:t>. This standard requires a financial asset to be presented at the net amount expected to be collected. The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in scope of ASU 2016-13 were primarily accounts receivable. The Company estimates an allowance for expected credit losses on accounts receivable that result from the inability of customers to make required payments. In estimating the allowance for expected credit losses, consideration is given to the current aging of receivables, historical experience, and a review for potential bad debts. The adoption of this ASU did not have an impact on the Company’s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16" w:lineRule="exact"/>
        <w:rPr>
          <w:sz w:val="20"/>
          <w:szCs w:val="20"/>
          <w:color w:val="auto"/>
        </w:rPr>
      </w:pPr>
    </w:p>
    <w:p>
      <w:pPr>
        <w:ind w:left="40" w:right="199" w:firstLine="259"/>
        <w:spacing w:after="0" w:line="289" w:lineRule="auto"/>
        <w:rPr>
          <w:sz w:val="20"/>
          <w:szCs w:val="20"/>
          <w:color w:val="auto"/>
        </w:rPr>
      </w:pPr>
      <w:r>
        <w:rPr>
          <w:rFonts w:ascii="Arial" w:cs="Arial" w:eastAsia="Arial" w:hAnsi="Arial"/>
          <w:sz w:val="16"/>
          <w:szCs w:val="16"/>
          <w:color w:val="auto"/>
        </w:rPr>
        <w:t>We report our operations in three different business segments: (1) Fresh products, (2) RFG, and (3) Calavo Foods.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RFG segment represents operations related to the manufacturing and distribution of fresh-cut fruit, fresh-cut vegetables, and prepared foods. The Calavo Foods segment represents operations related to the purchase, manufacturing, and distribution of prepared avocado products, including guacamole, and salsa.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Borders>
              <w:bottom w:val="single" w:sz="8" w:color="auto"/>
            </w:tcBorders>
            <w:gridSpan w:val="9"/>
          </w:tcPr>
          <w:p>
            <w:pPr>
              <w:jc w:val="right"/>
              <w:ind w:right="536"/>
              <w:spacing w:after="0"/>
              <w:rPr>
                <w:sz w:val="20"/>
                <w:szCs w:val="20"/>
                <w:color w:val="auto"/>
              </w:rPr>
            </w:pPr>
            <w:r>
              <w:rPr>
                <w:rFonts w:ascii="Arial" w:cs="Arial" w:eastAsia="Arial" w:hAnsi="Arial"/>
                <w:sz w:val="14"/>
                <w:szCs w:val="14"/>
                <w:b w:val="1"/>
                <w:bCs w:val="1"/>
                <w:color w:val="auto"/>
              </w:rPr>
              <w:t>Three months ended April 30, 2021</w:t>
            </w:r>
          </w:p>
        </w:tc>
        <w:tc>
          <w:tcPr>
            <w:tcW w:w="160" w:type="dxa"/>
            <w:vAlign w:val="bottom"/>
          </w:tcPr>
          <w:p>
            <w:pPr>
              <w:spacing w:after="0"/>
              <w:rPr>
                <w:sz w:val="14"/>
                <w:szCs w:val="14"/>
                <w:color w:val="auto"/>
              </w:rPr>
            </w:pPr>
          </w:p>
        </w:tc>
        <w:tc>
          <w:tcPr>
            <w:tcW w:w="3420" w:type="dxa"/>
            <w:vAlign w:val="bottom"/>
            <w:tcBorders>
              <w:bottom w:val="single" w:sz="8" w:color="auto"/>
            </w:tcBorders>
            <w:gridSpan w:val="9"/>
          </w:tcPr>
          <w:p>
            <w:pPr>
              <w:jc w:val="right"/>
              <w:ind w:right="556"/>
              <w:spacing w:after="0"/>
              <w:rPr>
                <w:sz w:val="20"/>
                <w:szCs w:val="20"/>
                <w:color w:val="auto"/>
              </w:rPr>
            </w:pPr>
            <w:r>
              <w:rPr>
                <w:rFonts w:ascii="Arial" w:cs="Arial" w:eastAsia="Arial" w:hAnsi="Arial"/>
                <w:sz w:val="14"/>
                <w:szCs w:val="14"/>
                <w:b w:val="1"/>
                <w:bCs w:val="1"/>
                <w:color w:val="auto"/>
              </w:rPr>
              <w:t>Three months ended April 30,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23"/>
                <w:szCs w:val="23"/>
                <w:color w:val="auto"/>
              </w:rPr>
            </w:pPr>
          </w:p>
        </w:tc>
        <w:tc>
          <w:tcPr>
            <w:tcW w:w="7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23"/>
                <w:szCs w:val="23"/>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Avocados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$ 146,359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$ 146,359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$ 149,865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Tomatoes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Papayas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 fresh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Prepared avocado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Salsa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Fresh-cut fruit &amp; veg.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and prepared foods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97,011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97,011</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94,186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94,186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162,565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97,011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21,611</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281,187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171,671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94,186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19,727</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sales incentives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Less inter-company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$ 160,969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96,289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$ 276,821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$ 170,634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$ 281,166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Borders>
              <w:bottom w:val="single" w:sz="8" w:color="auto"/>
            </w:tcBorders>
            <w:gridSpan w:val="10"/>
          </w:tcPr>
          <w:p>
            <w:pPr>
              <w:jc w:val="right"/>
              <w:ind w:right="287"/>
              <w:spacing w:after="0"/>
              <w:rPr>
                <w:sz w:val="20"/>
                <w:szCs w:val="20"/>
                <w:color w:val="auto"/>
              </w:rPr>
            </w:pPr>
            <w:r>
              <w:rPr>
                <w:rFonts w:ascii="Arial" w:cs="Arial" w:eastAsia="Arial" w:hAnsi="Arial"/>
                <w:sz w:val="14"/>
                <w:szCs w:val="14"/>
                <w:b w:val="1"/>
                <w:bCs w:val="1"/>
                <w:color w:val="auto"/>
              </w:rPr>
              <w:t>Six months ended April 30, 2021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18"/>
          </w:tcPr>
          <w:p>
            <w:pPr>
              <w:ind w:left="380"/>
              <w:spacing w:after="0"/>
              <w:rPr>
                <w:sz w:val="20"/>
                <w:szCs w:val="20"/>
                <w:color w:val="auto"/>
              </w:rPr>
            </w:pPr>
            <w:r>
              <w:rPr>
                <w:rFonts w:ascii="Arial" w:cs="Arial" w:eastAsia="Arial" w:hAnsi="Arial"/>
                <w:sz w:val="14"/>
                <w:szCs w:val="14"/>
                <w:b w:val="1"/>
                <w:bCs w:val="1"/>
                <w:color w:val="auto"/>
                <w:w w:val="95"/>
              </w:rPr>
              <w:t>Six months ended April 30,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23"/>
                <w:szCs w:val="23"/>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Fresh</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1"/>
              </w:rPr>
              <w:t>Calavo</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5"/>
              </w:rPr>
              <w:t>Foods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Avocados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$ 250,130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$ 250,130</w:t>
            </w:r>
          </w:p>
        </w:tc>
        <w:tc>
          <w:tcPr>
            <w:tcW w:w="1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2"/>
              </w:rPr>
              <w:t>$ 267,749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$ 267,749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Tomatoes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22,619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32,324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32,324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Papayas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2"/>
          </w:tcPr>
          <w:p>
            <w:pPr>
              <w:spacing w:after="0" w:line="201" w:lineRule="exact"/>
              <w:rPr>
                <w:sz w:val="20"/>
                <w:szCs w:val="20"/>
                <w:color w:val="auto"/>
              </w:rPr>
            </w:pPr>
            <w:r>
              <w:rPr>
                <w:rFonts w:ascii="Arial" w:cs="Arial" w:eastAsia="Arial" w:hAnsi="Arial"/>
                <w:sz w:val="18"/>
                <w:szCs w:val="18"/>
                <w:color w:val="auto"/>
              </w:rPr>
              <w:t>Other fresh</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454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Prepared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avocado products</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37,753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37,753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40,919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Salsa</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1,408</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Fresh-cut fruit &amp;</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veg. and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prepared foods</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188,262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188,262</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215,653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215,653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96"/>
              </w:rPr>
              <w:t>Total gross sales</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278,600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188,262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39,161</w:t>
            </w:r>
          </w:p>
        </w:tc>
        <w:tc>
          <w:tcPr>
            <w:tcW w:w="14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506,023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2"/>
              </w:rPr>
              <w:t>305,317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9"/>
              </w:rPr>
              <w:t>215,653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42,247</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563,217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sales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(3,910)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2"/>
          </w:tcPr>
          <w:p>
            <w:pPr>
              <w:spacing w:after="0" w:line="201" w:lineRule="exact"/>
              <w:rPr>
                <w:sz w:val="20"/>
                <w:szCs w:val="20"/>
                <w:color w:val="auto"/>
              </w:rPr>
            </w:pPr>
            <w:r>
              <w:rPr>
                <w:rFonts w:ascii="Arial" w:cs="Arial" w:eastAsia="Arial" w:hAnsi="Arial"/>
                <w:sz w:val="18"/>
                <w:szCs w:val="18"/>
                <w:color w:val="auto"/>
              </w:rPr>
              <w:t>Less inter-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(2,292)</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(1,642)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(2,342)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$ 275,902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186,595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34,902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$ 497,399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$ 303,358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$ 214,463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$ 36,695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$ 554,516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Fresh</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RFG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Calavo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Interco.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products</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Foods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79"/>
              </w:rPr>
              <w:t>in</w:t>
            </w: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Elimins.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13"/>
          </w:tcPr>
          <w:p>
            <w:pPr>
              <w:ind w:left="120"/>
              <w:spacing w:after="0" w:line="129" w:lineRule="exact"/>
              <w:rPr>
                <w:sz w:val="20"/>
                <w:szCs w:val="20"/>
                <w:color w:val="auto"/>
              </w:rPr>
            </w:pPr>
            <w:r>
              <w:rPr>
                <w:rFonts w:ascii="Arial" w:cs="Arial" w:eastAsia="Arial" w:hAnsi="Arial"/>
                <w:sz w:val="14"/>
                <w:szCs w:val="14"/>
                <w:b w:val="1"/>
                <w:bCs w:val="1"/>
                <w:color w:val="auto"/>
                <w:w w:val="91"/>
              </w:rPr>
              <w:t>(All amounts are presented</w:t>
            </w:r>
          </w:p>
        </w:tc>
        <w:tc>
          <w:tcPr>
            <w:tcW w:w="140" w:type="dxa"/>
            <w:vAlign w:val="bottom"/>
            <w:gridSpan w:val="2"/>
            <w:vMerge w:val="continue"/>
          </w:tcPr>
          <w:p>
            <w:pPr>
              <w:spacing w:after="0"/>
              <w:rPr>
                <w:sz w:val="11"/>
                <w:szCs w:val="11"/>
                <w:color w:val="auto"/>
              </w:rPr>
            </w:pPr>
          </w:p>
        </w:tc>
        <w:tc>
          <w:tcPr>
            <w:tcW w:w="7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$ 161,686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96,289</w:t>
            </w:r>
          </w:p>
        </w:tc>
        <w:tc>
          <w:tcPr>
            <w:tcW w:w="880" w:type="dxa"/>
            <w:vAlign w:val="bottom"/>
            <w:gridSpan w:val="7"/>
          </w:tcPr>
          <w:p>
            <w:pPr>
              <w:jc w:val="right"/>
              <w:spacing w:after="0"/>
              <w:rPr>
                <w:sz w:val="20"/>
                <w:szCs w:val="20"/>
                <w:color w:val="auto"/>
              </w:rPr>
            </w:pPr>
            <w:r>
              <w:rPr>
                <w:rFonts w:ascii="Arial" w:cs="Arial" w:eastAsia="Arial" w:hAnsi="Arial"/>
                <w:sz w:val="18"/>
                <w:szCs w:val="18"/>
                <w:color w:val="auto"/>
              </w:rPr>
              <w:t>$ 20,736</w:t>
            </w:r>
          </w:p>
        </w:tc>
        <w:tc>
          <w:tcPr>
            <w:tcW w:w="40" w:type="dxa"/>
            <w:vAlign w:val="bottom"/>
          </w:tcPr>
          <w:p>
            <w:pPr>
              <w:spacing w:after="0"/>
              <w:rPr>
                <w:sz w:val="18"/>
                <w:szCs w:val="18"/>
                <w:color w:val="auto"/>
              </w:rPr>
            </w:pP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 (1,890)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146,678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94,001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15,432</w:t>
            </w:r>
          </w:p>
        </w:tc>
        <w:tc>
          <w:tcPr>
            <w:tcW w:w="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254,221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15,008</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5,304</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 30,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$ 170,868</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$ 17,853</w:t>
            </w:r>
          </w:p>
        </w:tc>
        <w:tc>
          <w:tcPr>
            <w:tcW w:w="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2"/>
              </w:rPr>
              <w:t>156,463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90,793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4"/>
              </w:rPr>
              <w:t>12,919</w:t>
            </w:r>
          </w:p>
        </w:tc>
        <w:tc>
          <w:tcPr>
            <w:tcW w:w="40" w:type="dxa"/>
            <w:vAlign w:val="bottom"/>
          </w:tcPr>
          <w:p>
            <w:pPr>
              <w:spacing w:after="0"/>
              <w:rPr>
                <w:sz w:val="18"/>
                <w:szCs w:val="18"/>
                <w:color w:val="auto"/>
              </w:rPr>
            </w:pP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259,091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$ 277,145</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$ 186,595</w:t>
            </w:r>
          </w:p>
        </w:tc>
        <w:tc>
          <w:tcPr>
            <w:tcW w:w="880" w:type="dxa"/>
            <w:vAlign w:val="bottom"/>
            <w:gridSpan w:val="7"/>
          </w:tcPr>
          <w:p>
            <w:pPr>
              <w:jc w:val="right"/>
              <w:spacing w:after="0"/>
              <w:rPr>
                <w:sz w:val="20"/>
                <w:szCs w:val="20"/>
                <w:color w:val="auto"/>
              </w:rPr>
            </w:pPr>
            <w:r>
              <w:rPr>
                <w:rFonts w:ascii="Arial" w:cs="Arial" w:eastAsia="Arial" w:hAnsi="Arial"/>
                <w:sz w:val="18"/>
                <w:szCs w:val="18"/>
                <w:color w:val="auto"/>
              </w:rPr>
              <w:t>$ 37,194</w:t>
            </w:r>
          </w:p>
        </w:tc>
        <w:tc>
          <w:tcPr>
            <w:tcW w:w="40" w:type="dxa"/>
            <w:vAlign w:val="bottom"/>
          </w:tcPr>
          <w:p>
            <w:pPr>
              <w:spacing w:after="0"/>
              <w:rPr>
                <w:sz w:val="18"/>
                <w:szCs w:val="18"/>
                <w:color w:val="auto"/>
              </w:rPr>
            </w:pP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 (3,535)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248,992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184,329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27,174</w:t>
            </w:r>
          </w:p>
        </w:tc>
        <w:tc>
          <w:tcPr>
            <w:tcW w:w="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456,960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28,153</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2,266</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8"/>
              </w:rPr>
              <w:t>$ 10,020</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40,439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April 30,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$ 304,058</w:t>
            </w:r>
          </w:p>
        </w:tc>
        <w:tc>
          <w:tcPr>
            <w:tcW w:w="9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$ 214,463</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$ 38,337</w:t>
            </w:r>
          </w:p>
        </w:tc>
        <w:tc>
          <w:tcPr>
            <w:tcW w:w="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(2,342)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554,516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2"/>
              </w:rPr>
              <w:t>283,071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8"/>
              </w:rPr>
              <w:t>208,853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4"/>
              </w:rPr>
              <w:t>27,051</w:t>
            </w:r>
          </w:p>
        </w:tc>
        <w:tc>
          <w:tcPr>
            <w:tcW w:w="40" w:type="dxa"/>
            <w:vAlign w:val="bottom"/>
          </w:tcPr>
          <w:p>
            <w:pPr>
              <w:spacing w:after="0"/>
              <w:rPr>
                <w:sz w:val="18"/>
                <w:szCs w:val="18"/>
                <w:color w:val="auto"/>
              </w:rPr>
            </w:pP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516,633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$ 11,286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225"/>
        <w:spacing w:after="0" w:line="293" w:lineRule="auto"/>
        <w:rPr>
          <w:sz w:val="20"/>
          <w:szCs w:val="20"/>
          <w:color w:val="auto"/>
        </w:rPr>
      </w:pPr>
      <w:r>
        <w:rPr>
          <w:rFonts w:ascii="Arial" w:cs="Arial" w:eastAsia="Arial" w:hAnsi="Arial"/>
          <w:sz w:val="16"/>
          <w:szCs w:val="16"/>
          <w:color w:val="auto"/>
        </w:rPr>
        <w:t>For the three months ended April 30, 2021 and 2020, intercompany sales and cost of sales of $0.7 million and $0.2 million between Fresh products and RFG were eliminated. For the six months ended April 30, 2021 and 2020, intercompany sales and cost of sales of $1.2 million and $0.7 million between Fresh products and RFG were eliminated. For the three months ended April 30, 2021 and 2020, intercompany sales and cost of sales of $1.2 million and $0.8 million between Calavo Foods and RFG were eliminated. For the six months ended April 30, 2021 and 2020, intercompany sales and cost of sales of $2.3 million and $1.6 million between Calavo Foods and RFG were eliminated.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Sales to customers outside the U.S. were approximately $8.8 million, and $5.8 million for the three months ended April 30, 2021 and 2020. Sales to customers outside the U.S. were approximately $16.9 million, and $15.4 million for the six months ended April 30, 2021 and 2020.</w:t>
      </w:r>
    </w:p>
    <w:p>
      <w:pPr>
        <w:spacing w:after="0" w:line="116" w:lineRule="exact"/>
        <w:rPr>
          <w:sz w:val="20"/>
          <w:szCs w:val="20"/>
          <w:color w:val="auto"/>
        </w:rPr>
      </w:pPr>
    </w:p>
    <w:p>
      <w:pPr>
        <w:ind w:left="40" w:right="79" w:firstLine="270"/>
        <w:spacing w:after="0" w:line="287" w:lineRule="auto"/>
        <w:rPr>
          <w:sz w:val="20"/>
          <w:szCs w:val="20"/>
          <w:color w:val="auto"/>
        </w:rPr>
      </w:pPr>
      <w:r>
        <w:rPr>
          <w:rFonts w:ascii="Arial" w:cs="Arial" w:eastAsia="Arial" w:hAnsi="Arial"/>
          <w:sz w:val="16"/>
          <w:szCs w:val="16"/>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losses in the current quarter. These losses were due primarily to certain long-term net peso receivables. The Mexican peso strengthened compared to the U.S. dollar from 20.22 (MX peso to U.S. dollar) at January 31, 2021 to 20.18 (MX peso to U.S. dollar) at April 30, 2021. Foreign currency remeasurement losses, net of gains, for the three months ended April 30, 2021 and 2020 was $0.5 million and $3.4 million. Foreign currency remeasurement gains, net of losses, for the six months ended April 30, 2021 was $0.6 million. Foreign currency remeasurement losses, net of gains, for the six months ended April 30, 2020 was $3.3 million.</w:t>
      </w:r>
    </w:p>
    <w:p>
      <w:pPr>
        <w:spacing w:after="0" w:line="104" w:lineRule="exact"/>
        <w:rPr>
          <w:sz w:val="20"/>
          <w:szCs w:val="20"/>
          <w:color w:val="auto"/>
        </w:rPr>
      </w:pPr>
    </w:p>
    <w:p>
      <w:pPr>
        <w:ind w:left="40" w:right="839" w:firstLine="259"/>
        <w:spacing w:after="0" w:line="277" w:lineRule="auto"/>
        <w:rPr>
          <w:sz w:val="20"/>
          <w:szCs w:val="20"/>
          <w:color w:val="auto"/>
        </w:rPr>
      </w:pPr>
      <w:r>
        <w:rPr>
          <w:rFonts w:ascii="Arial" w:cs="Arial" w:eastAsia="Arial" w:hAnsi="Arial"/>
          <w:sz w:val="18"/>
          <w:szCs w:val="18"/>
          <w:color w:val="auto"/>
        </w:rPr>
        <w:t>Long-lived assets attributed to geographic areas as of April 30, 2021 and October 31, 2020, are as follows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Mexico</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30, 2021</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92,668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38,119</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130,787</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October 31, 2020</w:t>
            </w: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35,160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130,270</w:t>
            </w:r>
          </w:p>
        </w:tc>
        <w:tc>
          <w:tcPr>
            <w:tcW w:w="0" w:type="dxa"/>
            <w:vAlign w:val="bottom"/>
          </w:tcPr>
          <w:p>
            <w:pPr>
              <w:spacing w:after="0"/>
              <w:rPr>
                <w:sz w:val="1"/>
                <w:szCs w:val="1"/>
                <w:color w:val="auto"/>
              </w:rPr>
            </w:pPr>
          </w:p>
        </w:tc>
      </w:tr>
      <w:tr>
        <w:trPr>
          <w:trHeight w:val="44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24"/>
                <w:szCs w:val="2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$ 27,169</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14,315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12,540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8"/>
              </w:rPr>
              <w:t>$ 53,335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41,787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Inventories are stated at the lower of cost or net realizable value. We periodically review the value of items in inventory and record any necessary write downs of inventory based on our assessment of market conditions. Inventory includes reserves of $0.2 million in slow moving and obsolete packing supply inventory as of April 30, 2021 and October 31, 2020. No additional inventory reserve was considered necessary as of April 30, 2021 and October 31, 2020.</w:t>
      </w:r>
    </w:p>
    <w:p>
      <w:pPr>
        <w:spacing w:after="0" w:line="15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Certain members of our Board of Directors market California avocados through Calavo pursuant to marketing agreements substantially similar to the marketing agreements that we enter into with other growers. For the three months ended April 30, 2021 and 2020, the aggregate amount of avocados procured from entities owned or controlled by members of our Board of Directors was $5.0 million and $5.9 million. For the six months ended April 30, 2021 and 2020, the aggregate amount of avocados procured from entities owned or controlled by members of our Board of Directors was $5.0 million and $6.1 million. Amounts payable to these Board members were $3.3 million as of April 30, 2021. We did not have any amounts payable to these Board members as of October 31, 2020.</w:t>
      </w:r>
    </w:p>
    <w:p>
      <w:pPr>
        <w:spacing w:after="0" w:line="177" w:lineRule="exact"/>
        <w:rPr>
          <w:sz w:val="20"/>
          <w:szCs w:val="20"/>
          <w:color w:val="auto"/>
        </w:rPr>
      </w:pPr>
    </w:p>
    <w:p>
      <w:pPr>
        <w:jc w:val="both"/>
        <w:ind w:left="40" w:right="79" w:firstLine="259"/>
        <w:spacing w:after="0" w:line="286" w:lineRule="auto"/>
        <w:rPr>
          <w:sz w:val="20"/>
          <w:szCs w:val="20"/>
          <w:color w:val="auto"/>
        </w:rPr>
      </w:pPr>
      <w:r>
        <w:rPr>
          <w:rFonts w:ascii="Arial" w:cs="Arial" w:eastAsia="Arial" w:hAnsi="Arial"/>
          <w:sz w:val="17"/>
          <w:szCs w:val="17"/>
          <w:color w:val="auto"/>
        </w:rPr>
        <w:t>During the three months ended April 30, 2021 and 2020, we received $0.1 million as dividend income from Limoneira Company (Limoneira). During the six months ended April 30, 2021 and 2020, we received $0.2 million and $0.1 million as dividend income from Limoneira. In addition, we lease office space from Limoneira for our corporate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79"/>
        <w:spacing w:after="0" w:line="259" w:lineRule="auto"/>
        <w:rPr>
          <w:sz w:val="20"/>
          <w:szCs w:val="20"/>
          <w:color w:val="auto"/>
        </w:rPr>
      </w:pPr>
      <w:r>
        <w:rPr>
          <w:rFonts w:ascii="Arial" w:cs="Arial" w:eastAsia="Arial" w:hAnsi="Arial"/>
          <w:sz w:val="18"/>
          <w:szCs w:val="18"/>
          <w:color w:val="auto"/>
        </w:rPr>
        <w:t>office. We paid rent expense to Limoneira totaling $0.1 million for the three months ended April 30, 2021 and 2020. We paid rent expense to Limoneira totaling $0.2 million for the six months ended April 30, 2021 and 2020. Harold Edwards, who is a member of our Board of Directors, is the Chief Executive Officer of Limoneira Company. As of April 30, 2021, we own approximately 9% of Limoneira’s outstanding shares.</w:t>
      </w:r>
    </w:p>
    <w:p>
      <w:pPr>
        <w:spacing w:after="0" w:line="187" w:lineRule="exact"/>
        <w:rPr>
          <w:sz w:val="20"/>
          <w:szCs w:val="20"/>
          <w:color w:val="auto"/>
        </w:rPr>
      </w:pPr>
    </w:p>
    <w:p>
      <w:pPr>
        <w:ind w:left="40" w:right="99" w:firstLine="259"/>
        <w:spacing w:after="0" w:line="279" w:lineRule="auto"/>
        <w:rPr>
          <w:sz w:val="20"/>
          <w:szCs w:val="20"/>
          <w:color w:val="auto"/>
        </w:rPr>
      </w:pPr>
      <w:r>
        <w:rPr>
          <w:rFonts w:ascii="Arial" w:cs="Arial" w:eastAsia="Arial" w:hAnsi="Arial"/>
          <w:sz w:val="17"/>
          <w:szCs w:val="17"/>
          <w:color w:val="auto"/>
        </w:rPr>
        <w:t>We currently have a board member who served as a partner in the law firm of TroyGould PC, which has represented Calavo as legal counsel on certain matters, until his retirement in December 2020. During the three months ended April 30, 2021 and 2020, Calavo Growers, Inc. paid fees totaling $0.1 million to TroyGould PC. During the six months ended April 30, 2021 and 2020, Calavo Growers, Inc. paid fees totaling $0.2 million to TroyGould PC.</w:t>
      </w:r>
    </w:p>
    <w:p>
      <w:pPr>
        <w:spacing w:after="0" w:line="171" w:lineRule="exact"/>
        <w:rPr>
          <w:sz w:val="20"/>
          <w:szCs w:val="20"/>
          <w:color w:val="auto"/>
        </w:rPr>
      </w:pPr>
    </w:p>
    <w:p>
      <w:pPr>
        <w:jc w:val="both"/>
        <w:ind w:left="40" w:right="139" w:firstLine="259"/>
        <w:spacing w:after="0" w:line="263" w:lineRule="auto"/>
        <w:rPr>
          <w:sz w:val="20"/>
          <w:szCs w:val="20"/>
          <w:color w:val="auto"/>
        </w:rPr>
      </w:pPr>
      <w:r>
        <w:rPr>
          <w:rFonts w:ascii="Arial" w:cs="Arial" w:eastAsia="Arial" w:hAnsi="Arial"/>
          <w:sz w:val="18"/>
          <w:szCs w:val="18"/>
          <w:color w:val="auto"/>
        </w:rPr>
        <w:t>Calavo and Agricola Belher (“Belher”) have an equal one-half ownership interest in Agricola Don Memo, S.A. de C.V. (“Don Memo”). Pursuant to a management service agreement, Belher, through its officers and employees, has day-to-day power and authority to manage the operations.</w:t>
      </w:r>
    </w:p>
    <w:p>
      <w:pPr>
        <w:spacing w:after="0" w:line="184" w:lineRule="exact"/>
        <w:rPr>
          <w:sz w:val="20"/>
          <w:szCs w:val="20"/>
          <w:color w:val="auto"/>
        </w:rPr>
      </w:pPr>
    </w:p>
    <w:p>
      <w:pPr>
        <w:ind w:left="40" w:right="79" w:firstLine="259"/>
        <w:spacing w:after="0" w:line="284" w:lineRule="auto"/>
        <w:rPr>
          <w:sz w:val="20"/>
          <w:szCs w:val="20"/>
          <w:color w:val="auto"/>
        </w:rPr>
      </w:pPr>
      <w:r>
        <w:rPr>
          <w:rFonts w:ascii="Arial" w:cs="Arial" w:eastAsia="Arial" w:hAnsi="Arial"/>
          <w:sz w:val="16"/>
          <w:szCs w:val="16"/>
          <w:color w:val="auto"/>
        </w:rPr>
        <w:t>As of April 30, 2021, and October 31, 2020, we had an investment of $4.8 million and $6.0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April 30, 2021 and October 31, 2020, we had outstanding advances of $4.2 million and $2.4 million to Don Memo. In October 2020, we entered into an infrastructure loan agreement with Don Memo for $2.4 million secured by certain property and equipment of Don Memo. This infrastructure loan will incur interest at</w:t>
      </w:r>
    </w:p>
    <w:p>
      <w:pPr>
        <w:spacing w:after="0" w:line="2" w:lineRule="exact"/>
        <w:rPr>
          <w:sz w:val="20"/>
          <w:szCs w:val="20"/>
          <w:color w:val="auto"/>
        </w:rPr>
      </w:pPr>
    </w:p>
    <w:p>
      <w:pPr>
        <w:ind w:left="40" w:right="59" w:firstLine="45"/>
        <w:spacing w:after="0" w:line="271" w:lineRule="auto"/>
        <w:rPr>
          <w:sz w:val="20"/>
          <w:szCs w:val="20"/>
          <w:color w:val="auto"/>
        </w:rPr>
      </w:pPr>
      <w:r>
        <w:rPr>
          <w:rFonts w:ascii="Arial" w:cs="Arial" w:eastAsia="Arial" w:hAnsi="Arial"/>
          <w:sz w:val="17"/>
          <w:szCs w:val="17"/>
          <w:color w:val="auto"/>
        </w:rPr>
        <w:t>7.25%. In October 2020, we funded $0.7 million related to this loan agreement, and we funded an additional $0.7 million and $0.6 million in the first and second quarters of fiscal 2021. This infrastructure loan agreement will mature in fiscal 2024. During the three months ended April 30, 2021 and 2020, we recorded $0.4 million and $0.6 million of cost of sales to Don Memo pursuant to our consignment agreement. During the six months ended April 30, 2021 and 2020, we recorded $3.9 million and $4.6 million of cost of sales to Don Memo pursuant to our consignment agreement.</w:t>
      </w:r>
    </w:p>
    <w:p>
      <w:pPr>
        <w:spacing w:after="0" w:line="178"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$4.5 million as of April 30, 2021 and October 31, 2020, which are netted against the grower payable. In addition, we had infrastructure advances due from Belher of $1.8 million as of April 30, 2021 and October 31, 2020. The remaining principal balance is due in $0.9 million installments on July 2021 and July 2022. Of these infrastructure advances $0.9 million and $0.6 million was recorded as a receivable in prepaid and other current assets as of April 30, 2021 and October 31, 2020. The remaining $0.9 million of these infrastructure advances were recorded in other assets. During the three months ended April 30, 2021 and 2020, we recorded $11.2 million and $15.7 million of cost of sales to Belher pursuant to our consignment agreement. During the six months ended April 30, 2021 and 2020, we recorded $14.5 million and $19.6 million of cost of sales to Belher pursuant to our consignment agreement.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August 2015, we entered into a Shareholder’s Agreement with various Mexican partners and created Avocados de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Jalisco, S.A.P.I. de C.V. (“Avocados de Jalisco”). Avocados de Jalisco is a Mexican corporation created to engage 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procuring, packing and selling avocados. As of April 30, 2021, this entity was approximately 83% owned by Calavo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was consolidated in our financial statements. Avocados de Jalisco built a packinghouse located in Jalisco, Mexico, which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began operations in June of 2017. During the three months ended April 30, 2021 and 2020, we purchased approximately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 million and $1.5 million of avocados from the partners of Avocados de Jalisco. During the six months ended April 30,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 and 2020, we purchased approximately $3.2 million and $1.9 million of avocados from the partners of Avocados de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Jalisco.</w:t>
      </w:r>
    </w:p>
    <w:p>
      <w:pPr>
        <w:spacing w:after="0" w:line="211" w:lineRule="exact"/>
        <w:rPr>
          <w:sz w:val="20"/>
          <w:szCs w:val="20"/>
          <w:color w:val="auto"/>
        </w:rPr>
      </w:pPr>
    </w:p>
    <w:p>
      <w:pPr>
        <w:ind w:left="40" w:right="259" w:firstLine="389"/>
        <w:spacing w:after="0" w:line="296" w:lineRule="auto"/>
        <w:rPr>
          <w:sz w:val="20"/>
          <w:szCs w:val="20"/>
          <w:color w:val="auto"/>
        </w:rPr>
      </w:pPr>
      <w:r>
        <w:rPr>
          <w:rFonts w:ascii="Arial" w:cs="Arial" w:eastAsia="Arial" w:hAnsi="Arial"/>
          <w:sz w:val="16"/>
          <w:szCs w:val="16"/>
          <w:color w:val="auto"/>
        </w:rPr>
        <w:t>FreshRealm is a start-up company, engaged in activities relating to the marketing of food products directly to consumers or other entities. On February 3, 2021, Calavo and FreshRealm entered into a Limited Liability Company Member Separation and Release Agreement (the Separation Agreement). See Note 12 for more information. Prior to the Separation Agreement, we had an equity investment in FreshRealm representing approximately 37% ownership of FreshRealm. We recorded an impairment of 100% of this equity investment, or $2.8 million, in the third quarter of fiscal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2020. We had a note receivable and trade receivables of approximately $34.5 million at October 31, 2020 (which includes accrued interest) from FreshRealm. We recorded a reserve of $34.5 million during fiscal 2020 for which the receivables continue to be fully reserved as of April 30, 2021.</w:t>
      </w:r>
    </w:p>
    <w:p>
      <w:pPr>
        <w:spacing w:after="0" w:line="184"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One officer and five members of our board of directors have investments in FreshRealm as of April 30, 2021 and October 31, 2020. Prior to the Separation Agreement, three members of our board of directors served as board members of FreshRealm.</w:t>
      </w:r>
    </w:p>
    <w:p>
      <w:pPr>
        <w:spacing w:after="0" w:line="184" w:lineRule="exact"/>
        <w:rPr>
          <w:sz w:val="20"/>
          <w:szCs w:val="20"/>
          <w:color w:val="auto"/>
        </w:rPr>
      </w:pPr>
    </w:p>
    <w:p>
      <w:pPr>
        <w:ind w:left="40" w:right="59" w:firstLine="304"/>
        <w:spacing w:after="0" w:line="255" w:lineRule="auto"/>
        <w:rPr>
          <w:sz w:val="20"/>
          <w:szCs w:val="20"/>
          <w:color w:val="auto"/>
        </w:rPr>
      </w:pPr>
      <w:r>
        <w:rPr>
          <w:rFonts w:ascii="Arial" w:cs="Arial" w:eastAsia="Arial" w:hAnsi="Arial"/>
          <w:sz w:val="18"/>
          <w:szCs w:val="18"/>
          <w:color w:val="auto"/>
        </w:rPr>
        <w:t>We provide storage services to FreshRealm from select Value-Added Depots and RFG facilities. We have recorded and received $0.2 million and $0.1 million in storage services revenue from FreshRealm in the three months ended April 30, 2021 and 2020. We have recorded and received $0.3 million and $0.3 million in storage services revenue from FreshRealm in the six months ended April 30, 2021 and 2020. For the three months ended April 30, 2020, RFG has sold less than $0.1 million of products to FreshRealm. For the six months ended April 30, 2020, RFG has sold $0.3 million of products to FreshRealm.</w:t>
      </w:r>
    </w:p>
    <w:p>
      <w:pPr>
        <w:spacing w:after="0" w:line="20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00" w:type="dxa"/>
            <w:vAlign w:val="bottom"/>
            <w:tcBorders>
              <w:top w:val="single" w:sz="8" w:color="CCEEFF"/>
            </w:tcBorders>
            <w:gridSpan w:val="9"/>
            <w:shd w:val="clear" w:color="auto" w:fill="CCEEFF"/>
          </w:tcPr>
          <w:p>
            <w:pPr>
              <w:jc w:val="center"/>
              <w:ind w:right="260"/>
              <w:spacing w:after="0"/>
              <w:rPr>
                <w:sz w:val="20"/>
                <w:szCs w:val="20"/>
                <w:color w:val="auto"/>
              </w:rPr>
            </w:pPr>
            <w:r>
              <w:rPr>
                <w:rFonts w:ascii="Arial" w:cs="Arial" w:eastAsia="Arial" w:hAnsi="Arial"/>
                <w:sz w:val="18"/>
                <w:szCs w:val="18"/>
                <w:color w:val="auto"/>
                <w:w w:val="90"/>
              </w:rPr>
              <w:t>Mexican IVA (i.e. value-added) taxes receivable (see note 11)</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$ 34,971</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11"/>
          </w:tcPr>
          <w:p>
            <w:pPr>
              <w:spacing w:after="0"/>
              <w:rPr>
                <w:sz w:val="20"/>
                <w:szCs w:val="20"/>
                <w:color w:val="auto"/>
              </w:rPr>
            </w:pPr>
            <w:r>
              <w:rPr>
                <w:rFonts w:ascii="Arial" w:cs="Arial" w:eastAsia="Arial" w:hAnsi="Arial"/>
                <w:sz w:val="18"/>
                <w:szCs w:val="18"/>
                <w:color w:val="auto"/>
              </w:rPr>
              <w:t>Infrastructure advances to Agricola Belher and Agricola Don Memo</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$ 39,018</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6"/>
            <w:vMerge w:val="restart"/>
          </w:tcPr>
          <w:p>
            <w:pPr>
              <w:ind w:left="340"/>
              <w:spacing w:after="0"/>
              <w:rPr>
                <w:sz w:val="20"/>
                <w:szCs w:val="20"/>
                <w:color w:val="auto"/>
              </w:rPr>
            </w:pPr>
            <w:r>
              <w:rPr>
                <w:rFonts w:ascii="Arial" w:cs="Arial" w:eastAsia="Arial" w:hAnsi="Arial"/>
                <w:sz w:val="18"/>
                <w:szCs w:val="18"/>
                <w:color w:val="auto"/>
                <w:w w:val="92"/>
              </w:rPr>
              <w:t>Intangible assets consist of the following (in thousands):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April 30, 2021</w:t>
            </w: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October 31, 2020</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Gross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Accum.</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Book</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Accum.</w:t>
            </w:r>
          </w:p>
        </w:tc>
        <w:tc>
          <w:tcPr>
            <w:tcW w:w="120" w:type="dxa"/>
            <w:vAlign w:val="bottom"/>
          </w:tcPr>
          <w:p>
            <w:pPr>
              <w:spacing w:after="0"/>
              <w:rPr>
                <w:sz w:val="18"/>
                <w:szCs w:val="18"/>
                <w:color w:val="auto"/>
              </w:rPr>
            </w:pPr>
          </w:p>
        </w:tc>
        <w:tc>
          <w:tcPr>
            <w:tcW w:w="5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Useful Life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$ 8,025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 years</w:t>
            </w:r>
          </w:p>
        </w:tc>
        <w:tc>
          <w:tcPr>
            <w:tcW w:w="68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(2,913)</w:t>
            </w:r>
          </w:p>
        </w:tc>
        <w:tc>
          <w:tcPr>
            <w:tcW w:w="600" w:type="dxa"/>
            <w:vAlign w:val="bottom"/>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secrets/recipes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Brand name intangibles</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indefinite</w:t>
            </w: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$ 9,536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(11,982)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259"/>
        <w:spacing w:after="0" w:line="308" w:lineRule="auto"/>
        <w:rPr>
          <w:sz w:val="20"/>
          <w:szCs w:val="20"/>
          <w:color w:val="auto"/>
        </w:rPr>
      </w:pPr>
      <w:r>
        <w:rPr>
          <w:rFonts w:ascii="Arial" w:cs="Arial" w:eastAsia="Arial" w:hAnsi="Arial"/>
          <w:sz w:val="17"/>
          <w:szCs w:val="17"/>
          <w:color w:val="auto"/>
        </w:rPr>
        <w:t>We anticipate recording amortization expense of $0.8 million for the remainder of fiscal 2021, $1.6 million for fiscal year 2022, $1.5 million for fiscal year 2023, $1.5 million for fiscal year 2024, and $3.9 million thereafter.</w:t>
      </w:r>
    </w:p>
    <w:p>
      <w:pPr>
        <w:spacing w:after="0" w:line="14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This is a ten-year plan, with up to 1,500,000 shares a issuable through December 2031.</w:t>
      </w:r>
    </w:p>
    <w:p>
      <w:pPr>
        <w:spacing w:after="0" w:line="161" w:lineRule="exact"/>
        <w:rPr>
          <w:sz w:val="20"/>
          <w:szCs w:val="20"/>
          <w:color w:val="auto"/>
        </w:rPr>
      </w:pPr>
    </w:p>
    <w:p>
      <w:pPr>
        <w:jc w:val="both"/>
        <w:ind w:left="40" w:right="279" w:firstLine="259"/>
        <w:spacing w:after="0" w:line="263" w:lineRule="auto"/>
        <w:rPr>
          <w:sz w:val="20"/>
          <w:szCs w:val="20"/>
          <w:color w:val="auto"/>
        </w:rPr>
      </w:pPr>
      <w:r>
        <w:rPr>
          <w:rFonts w:ascii="Arial" w:cs="Arial" w:eastAsia="Arial" w:hAnsi="Arial"/>
          <w:sz w:val="18"/>
          <w:szCs w:val="18"/>
          <w:color w:val="auto"/>
        </w:rPr>
        <w:t>In April 2021, the Board of Directors approved the vesting of all of the remaining restricted shares outstanding to our former Chief Executive Officer and Board member. With this vesting, we recognized stock-based compensation of $0.7 million for the three and six months ended April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259"/>
        <w:spacing w:after="0" w:line="272" w:lineRule="auto"/>
        <w:rPr>
          <w:sz w:val="20"/>
          <w:szCs w:val="20"/>
          <w:color w:val="auto"/>
        </w:rPr>
      </w:pPr>
      <w:r>
        <w:rPr>
          <w:rFonts w:ascii="Arial" w:cs="Arial" w:eastAsia="Arial" w:hAnsi="Arial"/>
          <w:sz w:val="17"/>
          <w:szCs w:val="17"/>
          <w:color w:val="auto"/>
        </w:rPr>
        <w:t>On November 2, 2020, 11 of our non-employee directors were each granted 1,500 restricted shares, as part of their annual compensation (total of 16,500 shares). These shares have full voting rights and participate in dividends as if unrestricted. The closing price of our stock on such date was $67.97. On January 2, 2022, as long as the directors are still serving on the board, these shares lose their restriction and become non-forfeitable and transferable. These shares were granted pursuant to our 2011 Plan. The total recognized stock-based compensation expense for these grants was $0.3 million for the three months ended April 30, 2021. The total recognized stock-based compensation expense for these grants was $0.4 million for the six months ended April 30, 2021.</w:t>
      </w:r>
    </w:p>
    <w:p>
      <w:pPr>
        <w:spacing w:after="0" w:line="177"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On November 2, 2020, our executive officers were granted a total of 9,334 restricted shares. These shares have full voting rights and participate in dividends as if unrestricted. The closing price of our stock on such date was $67.97. These shares vest in one-half increments, on an annual basis, beginning November 2, 2021. These shares were granted pursuant to our 2011 Plan. The total recognized stock-based compensation expense for these grants was $0.1 million for the three months ended April 30, 2021. The total recognized stock-based compensation expense for these grants was $0.2 million for the six months ended April 30, 2021.</w:t>
      </w:r>
    </w:p>
    <w:p>
      <w:pPr>
        <w:spacing w:after="0" w:line="192" w:lineRule="exact"/>
        <w:rPr>
          <w:sz w:val="20"/>
          <w:szCs w:val="20"/>
          <w:color w:val="auto"/>
        </w:rPr>
      </w:pPr>
    </w:p>
    <w:p>
      <w:pPr>
        <w:ind w:left="40" w:right="139" w:firstLine="259"/>
        <w:spacing w:after="0" w:line="255" w:lineRule="auto"/>
        <w:rPr>
          <w:sz w:val="20"/>
          <w:szCs w:val="20"/>
          <w:color w:val="auto"/>
        </w:rPr>
      </w:pPr>
      <w:r>
        <w:rPr>
          <w:rFonts w:ascii="Arial" w:cs="Arial" w:eastAsia="Arial" w:hAnsi="Arial"/>
          <w:sz w:val="18"/>
          <w:szCs w:val="18"/>
          <w:color w:val="auto"/>
        </w:rPr>
        <w:t>On November 2, 2020, key employees were granted a total of 2,600 restricted shares. These shares have full voting rights and participate in dividends as if unrestricted. The closing price of our stock on such date was $67.97. These shares vest in one-third increments, on an annual basis, beginning November 2, 2021. These shares were granted pursuant to our 2011 Plan. The total recognized stock-based compensation expense for these grants were insignificant for the three months ended April 30, 2021. The total recognized stock-based compensation expense for these grants were insignificant for the six months ended April 30, 2021.</w:t>
      </w:r>
    </w:p>
    <w:p>
      <w:pPr>
        <w:spacing w:after="0" w:line="192" w:lineRule="exact"/>
        <w:rPr>
          <w:sz w:val="20"/>
          <w:szCs w:val="20"/>
          <w:color w:val="auto"/>
        </w:rPr>
      </w:pPr>
    </w:p>
    <w:p>
      <w:pPr>
        <w:ind w:left="40" w:right="419" w:firstLine="259"/>
        <w:spacing w:after="0" w:line="277"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Number of Shares</w:t>
            </w:r>
          </w:p>
        </w:tc>
        <w:tc>
          <w:tcPr>
            <w:tcW w:w="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Outstanding at April 30,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259"/>
        <w:spacing w:after="0" w:line="301" w:lineRule="auto"/>
        <w:rPr>
          <w:sz w:val="20"/>
          <w:szCs w:val="20"/>
          <w:color w:val="auto"/>
        </w:rPr>
      </w:pPr>
      <w:r>
        <w:rPr>
          <w:rFonts w:ascii="Arial" w:cs="Arial" w:eastAsia="Arial" w:hAnsi="Arial"/>
          <w:sz w:val="16"/>
          <w:szCs w:val="16"/>
          <w:color w:val="auto"/>
        </w:rPr>
        <w:t>The total recognized stock-based compensation expense for restricted stock was $1.4 million and $1.8 million for the three months ended April 30, 2021 and 2020. The total recognized stock-based compensation expense for restricted stock was $2.3 million and $2.7 million for the six months ended April 30, 2021 and 2020. Total unrecognized stock-based compensation expense totaled $3.5 million as of April 30, 2021 and will be amortized through fiscal year 2023.</w:t>
      </w:r>
    </w:p>
    <w:p>
      <w:pPr>
        <w:spacing w:after="0" w:line="157"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0"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April 30, 2021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45.59</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April 30, 2021, outstanding and exercisable stock options had a weighted-average remaining contractual term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 years. The total recognized and unrecognized stock-based compensation expense was insignificant for the three and six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months ended April 30, 2021 and 2020.</w:t>
      </w:r>
    </w:p>
    <w:p>
      <w:pPr>
        <w:spacing w:after="0" w:line="207" w:lineRule="exact"/>
        <w:rPr>
          <w:sz w:val="20"/>
          <w:szCs w:val="20"/>
          <w:color w:val="auto"/>
        </w:rPr>
      </w:pPr>
    </w:p>
    <w:p>
      <w:pPr>
        <w:ind w:left="380" w:hanging="316"/>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left="60" w:right="200" w:firstLine="259"/>
        <w:spacing w:after="0" w:line="277" w:lineRule="auto"/>
        <w:rPr>
          <w:sz w:val="20"/>
          <w:szCs w:val="20"/>
          <w:color w:val="auto"/>
        </w:rPr>
      </w:pPr>
      <w:r>
        <w:rPr>
          <w:rFonts w:ascii="Arial" w:cs="Arial" w:eastAsia="Arial" w:hAnsi="Arial"/>
          <w:sz w:val="18"/>
          <w:szCs w:val="18"/>
          <w:color w:val="auto"/>
        </w:rPr>
        <w:t>On December 4, 2020, we paid a $1.15 per share dividend in the aggregate amount of $20.3 million to shareholders of record on November 13, 2020.</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380"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60" w:right="80"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60" w:right="80" w:firstLine="259"/>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$109.0 million USD at April 30, 2021)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19" w:firstLine="259"/>
        <w:spacing w:after="0" w:line="286" w:lineRule="auto"/>
        <w:rPr>
          <w:sz w:val="20"/>
          <w:szCs w:val="20"/>
          <w:color w:val="auto"/>
        </w:rPr>
      </w:pPr>
      <w:r>
        <w:rPr>
          <w:rFonts w:ascii="Arial" w:cs="Arial" w:eastAsia="Arial" w:hAnsi="Arial"/>
          <w:sz w:val="17"/>
          <w:szCs w:val="17"/>
          <w:color w:val="auto"/>
        </w:rPr>
        <w:t>In February 2021, the legal division of the MFM issued a resolution in which the 2011 Assessment was declared void. As a result, the legal division ordered the MFM to issue a new tax assessment, taking into consideration arguments made by the Company in its filing of the administrative appeal. Such new tax assessment is pending.</w:t>
      </w:r>
    </w:p>
    <w:p>
      <w:pPr>
        <w:spacing w:after="0" w:line="165" w:lineRule="exact"/>
        <w:rPr>
          <w:sz w:val="20"/>
          <w:szCs w:val="20"/>
          <w:color w:val="auto"/>
        </w:rPr>
      </w:pPr>
    </w:p>
    <w:p>
      <w:pPr>
        <w:ind w:left="40" w:right="179" w:firstLine="259"/>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$128.8 million USD at April 30, 2021) related to Income Tax, Flat Rate Business Tax, and Value Added Tax, related to this fiscal 2013 tax audit. Additionally, the tax authorities have determined that we owe our employee’s profit-sharing liability, totaling approximately $118 million Mexican pesos (approx. $5.8 million USD at April 30, 2021).</w:t>
      </w:r>
    </w:p>
    <w:p>
      <w:pPr>
        <w:spacing w:after="0" w:line="188"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light of the foregoing, the Company is currently considering its options for resolution of the two tax assessments:</w:t>
      </w:r>
    </w:p>
    <w:p>
      <w:pPr>
        <w:spacing w:after="0" w:line="237" w:lineRule="exact"/>
        <w:rPr>
          <w:sz w:val="20"/>
          <w:szCs w:val="20"/>
          <w:color w:val="auto"/>
        </w:rPr>
      </w:pPr>
    </w:p>
    <w:p>
      <w:pPr>
        <w:ind w:left="720" w:right="179" w:hanging="325"/>
        <w:spacing w:after="0" w:line="275"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76" w:lineRule="exact"/>
        <w:rPr>
          <w:rFonts w:ascii="Arial" w:cs="Arial" w:eastAsia="Arial" w:hAnsi="Arial"/>
          <w:sz w:val="17"/>
          <w:szCs w:val="17"/>
          <w:color w:val="auto"/>
        </w:rPr>
      </w:pPr>
    </w:p>
    <w:p>
      <w:pPr>
        <w:ind w:left="720" w:right="99" w:hanging="325"/>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84"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The estimated time for resolution of this matter could be affected by the situation related to the COVID-19 pandemic. We continue to believe that the ultimate resolution of these matters is unlikely to have a material effect on our consolidated financial position.</w:t>
      </w:r>
    </w:p>
    <w:p>
      <w:pPr>
        <w:spacing w:after="0" w:line="180"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April 30, 2021 that are measured on a recurring basis during the period, segregated by level within the fair value hierarchy:</w:t>
      </w:r>
    </w:p>
    <w:p>
      <w:pPr>
        <w:spacing w:after="0" w:line="243"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gridSpan w:val="10"/>
          </w:tcPr>
          <w:p>
            <w:pPr>
              <w:ind w:left="140"/>
              <w:spacing w:after="0"/>
              <w:rPr>
                <w:sz w:val="20"/>
                <w:szCs w:val="20"/>
                <w:color w:val="auto"/>
              </w:rPr>
            </w:pPr>
            <w:r>
              <w:rPr>
                <w:rFonts w:ascii="Arial" w:cs="Arial" w:eastAsia="Arial" w:hAnsi="Arial"/>
                <w:sz w:val="14"/>
                <w:szCs w:val="14"/>
                <w:b w:val="1"/>
                <w:bCs w:val="1"/>
                <w:color w:val="auto"/>
                <w:w w:val="97"/>
              </w:rPr>
              <w:t>(All amounts are pres</w:t>
            </w:r>
            <w:r>
              <w:rPr>
                <w:rFonts w:ascii="Arial" w:cs="Arial" w:eastAsia="Arial" w:hAnsi="Arial"/>
                <w:sz w:val="14"/>
                <w:szCs w:val="14"/>
                <w:color w:val="auto"/>
                <w:w w:val="97"/>
              </w:rPr>
              <w:t>e</w:t>
            </w:r>
            <w:r>
              <w:rPr>
                <w:rFonts w:ascii="Arial" w:cs="Arial" w:eastAsia="Arial" w:hAnsi="Arial"/>
                <w:sz w:val="14"/>
                <w:szCs w:val="14"/>
                <w:b w:val="1"/>
                <w:bCs w:val="1"/>
                <w:color w:val="auto"/>
                <w:w w:val="97"/>
              </w:rPr>
              <w:t>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April 30, 2021:</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$ 30,292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$ 30,292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$ 30,292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$ 30,292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2020: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$ 23,197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$ 23,197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1260" w:right="159" w:hanging="322"/>
        <w:spacing w:after="0" w:line="251" w:lineRule="auto"/>
        <w:tabs>
          <w:tab w:leader="none" w:pos="1247"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April 30, 2021 and 2020, we recognized gains of $3.5 million and losses of $10.3 million on the consolidated condensed statement of operations. For the six months ended April 30, 2021 and 2020, we recognized gains of $7.1 million and losses of $9.3 million on the consolidated condensed statement of operations.</w:t>
      </w:r>
    </w:p>
    <w:p>
      <w:pPr>
        <w:spacing w:after="0" w:line="109" w:lineRule="exact"/>
        <w:rPr>
          <w:rFonts w:ascii="Arial" w:cs="Arial" w:eastAsia="Arial" w:hAnsi="Arial"/>
          <w:sz w:val="13"/>
          <w:szCs w:val="13"/>
          <w:color w:val="auto"/>
        </w:rPr>
      </w:pPr>
    </w:p>
    <w:p>
      <w:pPr>
        <w:ind w:left="340" w:hanging="296"/>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vMerge w:val="restart"/>
          </w:tcPr>
          <w:p>
            <w:pPr>
              <w:spacing w:after="0"/>
              <w:rPr>
                <w:sz w:val="14"/>
                <w:szCs w:val="14"/>
                <w:color w:val="auto"/>
              </w:rPr>
            </w:pPr>
          </w:p>
        </w:tc>
        <w:tc>
          <w:tcPr>
            <w:tcW w:w="2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Three months ended April 30,</w:t>
            </w:r>
          </w:p>
        </w:tc>
      </w:tr>
      <w:tr>
        <w:trPr>
          <w:trHeight w:val="142"/>
        </w:trPr>
        <w:tc>
          <w:tcPr>
            <w:tcW w:w="59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stock/options</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per share attributable to Calavo Growers, Inc:</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Six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40" w:type="dxa"/>
        <w:tblCellMar>
          <w:top w:w="0" w:type="dxa"/>
          <w:left w:w="0" w:type="dxa"/>
          <w:bottom w:w="0" w:type="dxa"/>
          <w:right w:w="0" w:type="dxa"/>
        </w:tblCellMar>
      </w:tblPr>
      <w:tr>
        <w:trPr>
          <w:trHeight w:val="142"/>
        </w:trPr>
        <w:tc>
          <w:tcPr>
            <w:tcW w:w="59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14,118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r>
      <w:tr>
        <w:trPr>
          <w:trHeight w:val="197"/>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per share attributable to Calavo Growers, Inc:</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left="40" w:right="49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65"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As of April 30, 2021, and October 31, 2020, CDM IVA receivables totaled $35.0 million (705.8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6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79" w:firstLine="259"/>
        <w:spacing w:after="0" w:line="291" w:lineRule="auto"/>
        <w:rPr>
          <w:sz w:val="20"/>
          <w:szCs w:val="20"/>
          <w:color w:val="auto"/>
        </w:rPr>
      </w:pPr>
      <w:r>
        <w:rPr>
          <w:rFonts w:ascii="Arial" w:cs="Arial" w:eastAsia="Arial" w:hAnsi="Arial"/>
          <w:sz w:val="16"/>
          <w:szCs w:val="16"/>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2017. CDM has strong arguments and supporting documentation to sustain its declared tax structure for IVA and income tax purposes. With assistance from our internationally recognized tax advisory firm, as of April 30, 2021, CDM has filed (or has plans to file) administrative appeals for the IVA related to the preceding months. A response to these administrative appeals is currently pending resolution.</w:t>
      </w:r>
    </w:p>
    <w:p>
      <w:pPr>
        <w:spacing w:after="0" w:line="166" w:lineRule="exact"/>
        <w:rPr>
          <w:sz w:val="20"/>
          <w:szCs w:val="20"/>
          <w:color w:val="auto"/>
        </w:rPr>
      </w:pPr>
    </w:p>
    <w:p>
      <w:pPr>
        <w:ind w:left="40" w:right="199" w:firstLine="259"/>
        <w:spacing w:after="0" w:line="308" w:lineRule="auto"/>
        <w:rPr>
          <w:sz w:val="20"/>
          <w:szCs w:val="20"/>
          <w:color w:val="auto"/>
        </w:rPr>
      </w:pPr>
      <w:r>
        <w:rPr>
          <w:rFonts w:ascii="Arial" w:cs="Arial" w:eastAsia="Arial" w:hAnsi="Arial"/>
          <w:sz w:val="17"/>
          <w:szCs w:val="17"/>
          <w:color w:val="auto"/>
        </w:rPr>
        <w:t>In light of the foregoing, the Company is currently considering its options for resolution of the VAT receivables. In the unlikely event of an unfavorable resolution of the administrative appeals, we plan to file nullification suits with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Mexican Tax Court. If the suits result in an unfavorable ruling, there is an option to appeal to the Collegiate Circuit Court. The estimated time for the resolution of these suits could be 2 – 3 years. This estimated time could be impacted by the situation of the COVID-19 pandemic.</w:t>
      </w:r>
    </w:p>
    <w:p>
      <w:pPr>
        <w:spacing w:after="0" w:line="184" w:lineRule="exact"/>
        <w:rPr>
          <w:sz w:val="20"/>
          <w:szCs w:val="20"/>
          <w:color w:val="auto"/>
        </w:rPr>
      </w:pPr>
    </w:p>
    <w:p>
      <w:pPr>
        <w:jc w:val="both"/>
        <w:ind w:left="40" w:right="59" w:firstLine="259"/>
        <w:spacing w:after="0" w:line="263"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FreshRealm Separation</w:t>
      </w:r>
    </w:p>
    <w:p>
      <w:pPr>
        <w:spacing w:after="0" w:line="229" w:lineRule="exact"/>
        <w:rPr>
          <w:sz w:val="20"/>
          <w:szCs w:val="20"/>
          <w:color w:val="auto"/>
        </w:rPr>
      </w:pPr>
    </w:p>
    <w:p>
      <w:pPr>
        <w:ind w:left="40" w:right="579" w:firstLine="259"/>
        <w:spacing w:after="0" w:line="277" w:lineRule="auto"/>
        <w:rPr>
          <w:sz w:val="20"/>
          <w:szCs w:val="20"/>
          <w:color w:val="auto"/>
        </w:rPr>
      </w:pPr>
      <w:r>
        <w:rPr>
          <w:rFonts w:ascii="Arial" w:cs="Arial" w:eastAsia="Arial" w:hAnsi="Arial"/>
          <w:sz w:val="18"/>
          <w:szCs w:val="18"/>
          <w:color w:val="auto"/>
        </w:rPr>
        <w:t>On February 3, 2021, Calavo and FreshRealm entered into a Limited Liability Company Member Separation and Release Agreement (the “Separation Agreement”) described below.</w:t>
      </w:r>
    </w:p>
    <w:p>
      <w:pPr>
        <w:spacing w:after="0" w:line="170"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This note was fully reserved in fiscal 2020.</w:t>
      </w:r>
    </w:p>
    <w:p>
      <w:pPr>
        <w:spacing w:after="0" w:line="161" w:lineRule="exact"/>
        <w:rPr>
          <w:sz w:val="20"/>
          <w:szCs w:val="20"/>
          <w:color w:val="auto"/>
        </w:rPr>
      </w:pPr>
    </w:p>
    <w:p>
      <w:pPr>
        <w:ind w:left="40" w:right="119" w:firstLine="259"/>
        <w:spacing w:after="0" w:line="287" w:lineRule="auto"/>
        <w:rPr>
          <w:sz w:val="20"/>
          <w:szCs w:val="20"/>
          <w:color w:val="auto"/>
        </w:rPr>
      </w:pPr>
      <w:r>
        <w:rPr>
          <w:rFonts w:ascii="Arial" w:cs="Arial" w:eastAsia="Arial" w:hAnsi="Arial"/>
          <w:sz w:val="16"/>
          <w:szCs w:val="16"/>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2" w:lineRule="exact"/>
        <w:rPr>
          <w:sz w:val="20"/>
          <w:szCs w:val="20"/>
          <w:color w:val="auto"/>
        </w:rPr>
      </w:pPr>
    </w:p>
    <w:p>
      <w:pPr>
        <w:ind w:left="40" w:right="79" w:firstLine="4"/>
        <w:spacing w:after="0" w:line="271" w:lineRule="auto"/>
        <w:tabs>
          <w:tab w:leader="none" w:pos="355" w:val="left"/>
        </w:tabs>
        <w:numPr>
          <w:ilvl w:val="0"/>
          <w:numId w:val="7"/>
        </w:numPr>
        <w:rPr>
          <w:rFonts w:ascii="Arial" w:cs="Arial" w:eastAsia="Arial" w:hAnsi="Arial"/>
          <w:sz w:val="17"/>
          <w:szCs w:val="17"/>
          <w:color w:val="auto"/>
        </w:rPr>
      </w:pPr>
      <w:r>
        <w:rPr>
          <w:rFonts w:ascii="Arial" w:cs="Arial" w:eastAsia="Arial" w:hAnsi="Arial"/>
          <w:sz w:val="17"/>
          <w:szCs w:val="17"/>
          <w:color w:val="auto"/>
        </w:rPr>
        <w:t>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78" w:lineRule="exact"/>
        <w:rPr>
          <w:sz w:val="20"/>
          <w:szCs w:val="20"/>
          <w:color w:val="auto"/>
        </w:rPr>
      </w:pPr>
    </w:p>
    <w:p>
      <w:pPr>
        <w:jc w:val="both"/>
        <w:ind w:left="40" w:right="139" w:firstLine="259"/>
        <w:spacing w:after="0" w:line="257" w:lineRule="auto"/>
        <w:rPr>
          <w:sz w:val="20"/>
          <w:szCs w:val="20"/>
          <w:color w:val="auto"/>
        </w:rPr>
      </w:pPr>
      <w:r>
        <w:rPr>
          <w:rFonts w:ascii="Arial" w:cs="Arial" w:eastAsia="Arial" w:hAnsi="Arial"/>
          <w:sz w:val="18"/>
          <w:szCs w:val="18"/>
          <w:color w:val="auto"/>
        </w:rPr>
        <w:t>In the event FreshRealm fails to pay the Loan Payoff Amount by the Loan Payoff Period, the Notes shall remain in full force and effect, and pursuant to a warrant issued to Calavo, Calavo shall have the right to purchase 4,207,397 equity units in Fresh Realm. The Notes have an interest rate of 1.46% per annum with a maturity date of April 1, 2022 and are secured in all of the assets and collateral of FreshRealm pursuant to that certain Third Amended and Restated Security Agreement dated February 3, 2021.</w:t>
      </w:r>
    </w:p>
    <w:p>
      <w:pPr>
        <w:spacing w:after="0" w:line="188" w:lineRule="exact"/>
        <w:rPr>
          <w:sz w:val="20"/>
          <w:szCs w:val="20"/>
          <w:color w:val="auto"/>
        </w:rPr>
      </w:pPr>
    </w:p>
    <w:p>
      <w:pPr>
        <w:ind w:left="40" w:right="79" w:firstLine="259"/>
        <w:spacing w:after="0" w:line="279" w:lineRule="auto"/>
        <w:rPr>
          <w:sz w:val="20"/>
          <w:szCs w:val="20"/>
          <w:color w:val="auto"/>
        </w:rPr>
      </w:pPr>
      <w:r>
        <w:rPr>
          <w:rFonts w:ascii="Arial" w:cs="Arial" w:eastAsia="Arial" w:hAnsi="Arial"/>
          <w:sz w:val="17"/>
          <w:szCs w:val="17"/>
          <w:color w:val="auto"/>
        </w:rPr>
        <w:t>If FreshRealm (i) pays to Calavo the Loan Payoff Amount within the Loan Payoff Period; and (ii) undergoes a “Success Event” in the future, including: a merger, a majority sale of FreshRealm’s assets or equity ownership interests, a private placement, or an initial public offering where FreshRealm as a company is valued at $100 million or more, FreshRealm must pay to the Company additional compensation in accordance with the following:</w:t>
      </w:r>
    </w:p>
    <w:p>
      <w:pPr>
        <w:spacing w:after="0" w:line="171" w:lineRule="exact"/>
        <w:rPr>
          <w:sz w:val="20"/>
          <w:szCs w:val="20"/>
          <w:color w:val="auto"/>
        </w:rPr>
      </w:pPr>
    </w:p>
    <w:p>
      <w:pPr>
        <w:ind w:left="580" w:right="319" w:hanging="253"/>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FreshRealm must pay Calavo a $10 million payment upon the closing of a Success Event if the valuation of FreshRealm at the time of the Success Event is equal to or greater than $100 million, but less than $230 million;</w:t>
      </w:r>
    </w:p>
    <w:p>
      <w:pPr>
        <w:spacing w:after="0" w:line="123" w:lineRule="exact"/>
        <w:rPr>
          <w:rFonts w:ascii="Arial" w:cs="Arial" w:eastAsia="Arial" w:hAnsi="Arial"/>
          <w:sz w:val="16"/>
          <w:szCs w:val="16"/>
          <w:color w:val="auto"/>
        </w:rPr>
      </w:pPr>
    </w:p>
    <w:p>
      <w:pPr>
        <w:ind w:left="580" w:right="179" w:hanging="253"/>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FreshRealm must pay Calavo a $20 million payment upon the closing of a Success Event if the valuation of FreshRealm at the time of the Success Event is equal to or greater than $230 million, but less than $380 million; or</w:t>
      </w:r>
    </w:p>
    <w:p>
      <w:pPr>
        <w:spacing w:after="0" w:line="123" w:lineRule="exact"/>
        <w:rPr>
          <w:rFonts w:ascii="Arial" w:cs="Arial" w:eastAsia="Arial" w:hAnsi="Arial"/>
          <w:sz w:val="16"/>
          <w:szCs w:val="16"/>
          <w:color w:val="auto"/>
        </w:rPr>
      </w:pPr>
    </w:p>
    <w:p>
      <w:pPr>
        <w:ind w:left="580" w:right="679" w:hanging="253"/>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FreshRealm must pay Calavo a $34 million payment upon the closing of a Success Event if the valuation of FreshRealm at the time of the Success Event is equal to or greater than $380 Million.</w:t>
      </w:r>
    </w:p>
    <w:p>
      <w:pPr>
        <w:spacing w:after="0" w:line="170" w:lineRule="exact"/>
        <w:rPr>
          <w:sz w:val="20"/>
          <w:szCs w:val="20"/>
          <w:color w:val="auto"/>
        </w:rPr>
      </w:pPr>
    </w:p>
    <w:p>
      <w:pPr>
        <w:ind w:left="40" w:right="179" w:firstLine="259"/>
        <w:spacing w:after="0" w:line="301" w:lineRule="auto"/>
        <w:rPr>
          <w:sz w:val="20"/>
          <w:szCs w:val="20"/>
          <w:color w:val="auto"/>
        </w:rPr>
      </w:pPr>
      <w:r>
        <w:rPr>
          <w:rFonts w:ascii="Arial" w:cs="Arial" w:eastAsia="Arial" w:hAnsi="Arial"/>
          <w:sz w:val="16"/>
          <w:szCs w:val="16"/>
          <w:color w:val="auto"/>
        </w:rPr>
        <w:t>Aside from the above, if FreshRealm undergoes a sale of its business either through a merger or a majority sale of its assets or equity interests before February 3, 2022, FreshRealm must pay Calavo $6 million, if it hasn’t already paid the Loan Payoff Amount, plus twenty percent (20%) of the purchase price proceeds from such sale of FreshRealm. Due to the substantial uncertainty, no amounts have been recorded on the balance sheet as of April 30, 2021.</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Credit Facility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January 29, 2021, we entered into the Third Amendment to Credit Agreement (the “Third Amendment”) with Farm</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West, PCA and Bank of America, N.A. relating to our Credit Agreement dated as of June 14, 2016, First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Amendment to Credit Agreement dated as of August 29, 2016, and Second Amendment to Credit Agreement dated as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28, 2019 (collectively, the Credit Facility). This Third Amendment, among other things, provides for a five-year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extension of the maturity date to January 29, 2026, a $20 million increase in the revolving commitment to $100 million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(from $80 million) (for a total facility size of $150 million if the $50 million accordion is exercised, up from a total size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$130 million), and a 25 basis point increase in the interest rate. The new interest rate schedules are effective mid-June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 The weighted-average interest rate under the Credit Facility was 2.8% and 1.9% at April 30, 2021 and October 31,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2020. Under the Credit Facility, we had $42.3 million and $20.6 million outstanding as April 30, 2021 and October 31,</w:t>
      </w:r>
    </w:p>
    <w:p>
      <w:pPr>
        <w:spacing w:after="0" w:line="21" w:lineRule="exact"/>
        <w:rPr>
          <w:sz w:val="20"/>
          <w:szCs w:val="20"/>
          <w:color w:val="auto"/>
        </w:rPr>
      </w:pPr>
    </w:p>
    <w:p>
      <w:pPr>
        <w:ind w:left="40" w:right="159"/>
        <w:spacing w:after="0" w:line="260" w:lineRule="auto"/>
        <w:rPr>
          <w:sz w:val="20"/>
          <w:szCs w:val="20"/>
          <w:color w:val="auto"/>
        </w:rPr>
      </w:pPr>
      <w:r>
        <w:rPr>
          <w:rFonts w:ascii="Arial" w:cs="Arial" w:eastAsia="Arial" w:hAnsi="Arial"/>
          <w:sz w:val="18"/>
          <w:szCs w:val="18"/>
          <w:color w:val="auto"/>
        </w:rPr>
        <w:t>2020. In accordance with the extended due date, the outstanding balance of the Credit Facility has been classified to long-term in the accompanying balance sheet as of April 30, 2021.</w:t>
      </w:r>
    </w:p>
    <w:p>
      <w:pPr>
        <w:spacing w:after="0" w:line="185" w:lineRule="exact"/>
        <w:rPr>
          <w:sz w:val="20"/>
          <w:szCs w:val="20"/>
          <w:color w:val="auto"/>
        </w:rPr>
      </w:pPr>
    </w:p>
    <w:p>
      <w:pPr>
        <w:ind w:left="40" w:right="239" w:firstLine="225"/>
        <w:spacing w:after="0" w:line="301" w:lineRule="auto"/>
        <w:rPr>
          <w:sz w:val="20"/>
          <w:szCs w:val="20"/>
          <w:color w:val="auto"/>
        </w:rPr>
      </w:pPr>
      <w:r>
        <w:rPr>
          <w:rFonts w:ascii="Arial" w:cs="Arial" w:eastAsia="Arial" w:hAnsi="Arial"/>
          <w:sz w:val="16"/>
          <w:szCs w:val="16"/>
          <w:color w:val="auto"/>
        </w:rPr>
        <w:t>The Credit Facility agreement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financial covenants at April 30, 2021.</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COVID-19 Pandemic Impact</w:t>
      </w:r>
    </w:p>
    <w:p>
      <w:pPr>
        <w:spacing w:after="0" w:line="229"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59" w:firstLine="180"/>
        <w:spacing w:after="0" w:line="254" w:lineRule="auto"/>
        <w:rPr>
          <w:sz w:val="20"/>
          <w:szCs w:val="20"/>
          <w:color w:val="auto"/>
        </w:rPr>
      </w:pPr>
      <w:r>
        <w:rPr>
          <w:rFonts w:ascii="Arial" w:cs="Arial" w:eastAsia="Arial" w:hAnsi="Arial"/>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95" w:lineRule="exact"/>
        <w:rPr>
          <w:sz w:val="20"/>
          <w:szCs w:val="20"/>
          <w:color w:val="auto"/>
        </w:rPr>
      </w:pPr>
    </w:p>
    <w:p>
      <w:pPr>
        <w:ind w:left="40" w:right="299" w:firstLine="225"/>
        <w:spacing w:after="0" w:line="273"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2020,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8" w:lineRule="exact"/>
        <w:rPr>
          <w:sz w:val="20"/>
          <w:szCs w:val="20"/>
          <w:color w:val="auto"/>
        </w:rPr>
      </w:pPr>
    </w:p>
    <w:p>
      <w:pPr>
        <w:ind w:left="40" w:right="59" w:firstLine="225"/>
        <w:spacing w:after="0" w:line="254" w:lineRule="auto"/>
        <w:rPr>
          <w:sz w:val="20"/>
          <w:szCs w:val="20"/>
          <w:color w:val="auto"/>
        </w:rPr>
      </w:pPr>
      <w:r>
        <w:rPr>
          <w:rFonts w:ascii="Arial" w:cs="Arial" w:eastAsia="Arial" w:hAnsi="Arial"/>
          <w:sz w:val="18"/>
          <w:szCs w:val="18"/>
          <w:color w:val="auto"/>
        </w:rPr>
        <w:t>We may also experience additional costs related to increased workers’ compensation claims, health and safety inspections and group health insurance expenses as a result of the COVID-19 pandemic. We may also be subject to lawsuits from employees and others exposed to COVID-19 at our production and other facilities. Our professional and general liability insurance may not cover all claims against us. In addition, our operations and financial results may be further adversely affected by federal or state laws, regulations, orders, or other governmental or regulatory actions addressing the current COVID-19 pandemic. While we have managed the pandemic well, with minimal disruption to our overall business thus far, the continuing impact of the pandemic on our future consolidated results, financial position and cash flows are uncertain.</w:t>
      </w:r>
    </w:p>
    <w:p>
      <w:pPr>
        <w:spacing w:after="0" w:line="192" w:lineRule="exact"/>
        <w:rPr>
          <w:sz w:val="20"/>
          <w:szCs w:val="20"/>
          <w:color w:val="auto"/>
        </w:rPr>
      </w:pPr>
    </w:p>
    <w:p>
      <w:pPr>
        <w:ind w:left="40" w:right="79" w:firstLine="243"/>
        <w:spacing w:after="0" w:line="259" w:lineRule="auto"/>
        <w:rPr>
          <w:sz w:val="20"/>
          <w:szCs w:val="20"/>
          <w:color w:val="auto"/>
        </w:rPr>
      </w:pPr>
      <w:r>
        <w:rPr>
          <w:rFonts w:ascii="Arial" w:cs="Arial" w:eastAsia="Arial" w:hAnsi="Arial"/>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2020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Pandemic Impact</w:t>
      </w:r>
    </w:p>
    <w:p>
      <w:pPr>
        <w:spacing w:after="0" w:line="225" w:lineRule="exact"/>
        <w:rPr>
          <w:sz w:val="20"/>
          <w:szCs w:val="20"/>
          <w:color w:val="auto"/>
        </w:rPr>
      </w:pPr>
    </w:p>
    <w:p>
      <w:pPr>
        <w:ind w:left="40" w:right="59" w:firstLine="225"/>
        <w:spacing w:after="0" w:line="254" w:lineRule="auto"/>
        <w:rPr>
          <w:sz w:val="20"/>
          <w:szCs w:val="20"/>
          <w:color w:val="auto"/>
        </w:rPr>
      </w:pPr>
      <w:r>
        <w:rPr>
          <w:rFonts w:ascii="Arial" w:cs="Arial" w:eastAsia="Arial" w:hAnsi="Arial"/>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95" w:lineRule="exact"/>
        <w:rPr>
          <w:sz w:val="20"/>
          <w:szCs w:val="20"/>
          <w:color w:val="auto"/>
        </w:rPr>
      </w:pPr>
    </w:p>
    <w:p>
      <w:pPr>
        <w:ind w:left="40" w:right="299" w:firstLine="225"/>
        <w:spacing w:after="0" w:line="273"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2020,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8" w:lineRule="exact"/>
        <w:rPr>
          <w:sz w:val="20"/>
          <w:szCs w:val="20"/>
          <w:color w:val="auto"/>
        </w:rPr>
      </w:pPr>
    </w:p>
    <w:p>
      <w:pPr>
        <w:ind w:left="40" w:right="59" w:firstLine="225"/>
        <w:spacing w:after="0" w:line="254" w:lineRule="auto"/>
        <w:rPr>
          <w:sz w:val="20"/>
          <w:szCs w:val="20"/>
          <w:color w:val="auto"/>
        </w:rPr>
      </w:pPr>
      <w:r>
        <w:rPr>
          <w:rFonts w:ascii="Arial" w:cs="Arial" w:eastAsia="Arial" w:hAnsi="Arial"/>
          <w:sz w:val="18"/>
          <w:szCs w:val="18"/>
          <w:color w:val="auto"/>
        </w:rPr>
        <w:t>We may also experience additional costs related to increased workers’ compensation claims, health and safety inspections and group health insurance expenses as a result of the COVID-19 pandemic. We may also be subject to lawsuits from employees and others exposed to COVID-19 at our production and other facilities. Our professional and general liability insurance may not cover all claims against us. In addition, our operations and financial results may be further adversely affected by federal or state laws, regulations, orders, or other governmental or regulatory actions addressing the current COVID-19 pandemic. While we have managed the pandemic well, with minimal disruption to our overall business thus far, the continuing impact of the pandemic on our future consolidated results, financial position and cash flows are uncertain.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Recovery Economic Impact</w:t>
      </w:r>
    </w:p>
    <w:p>
      <w:pPr>
        <w:spacing w:after="0" w:line="225" w:lineRule="exact"/>
        <w:rPr>
          <w:sz w:val="20"/>
          <w:szCs w:val="20"/>
          <w:color w:val="auto"/>
        </w:rPr>
      </w:pPr>
    </w:p>
    <w:p>
      <w:pPr>
        <w:ind w:left="40" w:right="79" w:firstLine="243"/>
        <w:spacing w:after="0" w:line="259" w:lineRule="auto"/>
        <w:rPr>
          <w:sz w:val="20"/>
          <w:szCs w:val="20"/>
          <w:color w:val="auto"/>
        </w:rPr>
      </w:pPr>
      <w:r>
        <w:rPr>
          <w:rFonts w:ascii="Arial" w:cs="Arial" w:eastAsia="Arial" w:hAnsi="Arial"/>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4, 2020, we paid a $1.15 per share dividend in the aggregate amount of $20.3 million to shareholders of record on November 13,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$109.0 million USD at April 30, 2021)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w:t>
      </w:r>
    </w:p>
    <w:p>
      <w:pPr>
        <w:spacing w:after="0" w:line="179" w:lineRule="exact"/>
        <w:rPr>
          <w:sz w:val="20"/>
          <w:szCs w:val="20"/>
          <w:color w:val="auto"/>
        </w:rPr>
      </w:pPr>
    </w:p>
    <w:p>
      <w:pPr>
        <w:jc w:val="both"/>
        <w:ind w:left="40" w:right="219" w:firstLine="259"/>
        <w:spacing w:after="0" w:line="286" w:lineRule="auto"/>
        <w:rPr>
          <w:sz w:val="20"/>
          <w:szCs w:val="20"/>
          <w:color w:val="auto"/>
        </w:rPr>
      </w:pPr>
      <w:r>
        <w:rPr>
          <w:rFonts w:ascii="Arial" w:cs="Arial" w:eastAsia="Arial" w:hAnsi="Arial"/>
          <w:sz w:val="17"/>
          <w:szCs w:val="17"/>
          <w:color w:val="auto"/>
        </w:rPr>
        <w:t>In February 2021, the legal division of the MFM issued a resolution in which the 2011 Assessment was declared void. As a result, the legal division ordered the MFM to issue a new tax assessment, taking into consideration arguments made by the Company in its filing of the administrative appeal. Such new tax assessment is pending.</w:t>
      </w:r>
    </w:p>
    <w:p>
      <w:pPr>
        <w:spacing w:after="0" w:line="165" w:lineRule="exact"/>
        <w:rPr>
          <w:sz w:val="20"/>
          <w:szCs w:val="20"/>
          <w:color w:val="auto"/>
        </w:rPr>
      </w:pPr>
    </w:p>
    <w:p>
      <w:pPr>
        <w:ind w:left="40" w:right="179" w:firstLine="259"/>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$128.8 million USD at April 30, 2021) related to Income Tax, Flat Rate Business Tax, and Value Added Tax, related to this fiscal 2013 tax audit. Additionally, the tax authorities have determined that we owe our employee’s profit-sharing liability, totaling approximately $118 million Mexican pesos (approx. $5.8 million USD at April 30, 2021).</w:t>
      </w:r>
    </w:p>
    <w:p>
      <w:pPr>
        <w:spacing w:after="0" w:line="188"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light of the foregoing, the Company is currently considering its options for resolution of the two tax assessments:</w:t>
      </w:r>
    </w:p>
    <w:p>
      <w:pPr>
        <w:spacing w:after="0" w:line="237" w:lineRule="exact"/>
        <w:rPr>
          <w:sz w:val="20"/>
          <w:szCs w:val="20"/>
          <w:color w:val="auto"/>
        </w:rPr>
      </w:pPr>
    </w:p>
    <w:p>
      <w:pPr>
        <w:ind w:left="720" w:right="179" w:hanging="325"/>
        <w:spacing w:after="0" w:line="27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76" w:lineRule="exact"/>
        <w:rPr>
          <w:rFonts w:ascii="Arial" w:cs="Arial" w:eastAsia="Arial" w:hAnsi="Arial"/>
          <w:sz w:val="17"/>
          <w:szCs w:val="17"/>
          <w:color w:val="auto"/>
        </w:rPr>
      </w:pPr>
    </w:p>
    <w:p>
      <w:pPr>
        <w:ind w:left="720" w:right="99" w:hanging="325"/>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84" w:lineRule="exact"/>
        <w:rPr>
          <w:sz w:val="20"/>
          <w:szCs w:val="20"/>
          <w:color w:val="auto"/>
        </w:rPr>
      </w:pPr>
    </w:p>
    <w:p>
      <w:pPr>
        <w:ind w:left="40" w:right="119" w:firstLine="225"/>
        <w:spacing w:after="0" w:line="263" w:lineRule="auto"/>
        <w:rPr>
          <w:sz w:val="20"/>
          <w:szCs w:val="20"/>
          <w:color w:val="auto"/>
        </w:rPr>
      </w:pPr>
      <w:r>
        <w:rPr>
          <w:rFonts w:ascii="Arial" w:cs="Arial" w:eastAsia="Arial" w:hAnsi="Arial"/>
          <w:sz w:val="18"/>
          <w:szCs w:val="18"/>
          <w:color w:val="auto"/>
        </w:rPr>
        <w:t>The estimated time for resolution of this matter could be affected by the situation related to the COVID-19 pandemic. We continue to believe that the ultimate resolution of these matters is unlikely to have a material effect on our consolidated financial position.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FreshRealm Separation</w:t>
      </w:r>
    </w:p>
    <w:p>
      <w:pPr>
        <w:spacing w:after="0" w:line="225" w:lineRule="exact"/>
        <w:rPr>
          <w:sz w:val="20"/>
          <w:szCs w:val="20"/>
          <w:color w:val="auto"/>
        </w:rPr>
      </w:pPr>
    </w:p>
    <w:p>
      <w:pPr>
        <w:ind w:left="40" w:right="439" w:firstLine="389"/>
        <w:spacing w:after="0" w:line="277" w:lineRule="auto"/>
        <w:rPr>
          <w:sz w:val="20"/>
          <w:szCs w:val="20"/>
          <w:color w:val="auto"/>
        </w:rPr>
      </w:pPr>
      <w:r>
        <w:rPr>
          <w:rFonts w:ascii="Arial" w:cs="Arial" w:eastAsia="Arial" w:hAnsi="Arial"/>
          <w:sz w:val="18"/>
          <w:szCs w:val="18"/>
          <w:color w:val="auto"/>
        </w:rPr>
        <w:t>On February 3, 2021, Calavo and FreshRealm entered into a Limited Liability Company Member Separation and Release Agreement (the “Separation Agreement”) described below.</w:t>
      </w:r>
    </w:p>
    <w:p>
      <w:pPr>
        <w:spacing w:after="0" w:line="170" w:lineRule="exact"/>
        <w:rPr>
          <w:sz w:val="20"/>
          <w:szCs w:val="20"/>
          <w:color w:val="auto"/>
        </w:rPr>
      </w:pPr>
    </w:p>
    <w:p>
      <w:pPr>
        <w:ind w:left="40" w:right="59" w:firstLine="389"/>
        <w:spacing w:after="0" w:line="275" w:lineRule="auto"/>
        <w:rPr>
          <w:sz w:val="20"/>
          <w:szCs w:val="20"/>
          <w:color w:val="auto"/>
        </w:rPr>
      </w:pPr>
      <w:r>
        <w:rPr>
          <w:rFonts w:ascii="Arial" w:cs="Arial" w:eastAsia="Arial" w:hAnsi="Arial"/>
          <w:sz w:val="17"/>
          <w:szCs w:val="17"/>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w:t>
      </w:r>
    </w:p>
    <w:p>
      <w:pPr>
        <w:spacing w:after="0" w:line="176" w:lineRule="exact"/>
        <w:rPr>
          <w:sz w:val="20"/>
          <w:szCs w:val="20"/>
          <w:color w:val="auto"/>
        </w:rPr>
      </w:pPr>
    </w:p>
    <w:p>
      <w:pPr>
        <w:ind w:left="40" w:right="119" w:firstLine="389"/>
        <w:spacing w:after="0" w:line="287" w:lineRule="auto"/>
        <w:rPr>
          <w:sz w:val="20"/>
          <w:szCs w:val="20"/>
          <w:color w:val="auto"/>
        </w:rPr>
      </w:pPr>
      <w:r>
        <w:rPr>
          <w:rFonts w:ascii="Arial" w:cs="Arial" w:eastAsia="Arial" w:hAnsi="Arial"/>
          <w:sz w:val="16"/>
          <w:szCs w:val="16"/>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2" w:lineRule="exact"/>
        <w:rPr>
          <w:sz w:val="20"/>
          <w:szCs w:val="20"/>
          <w:color w:val="auto"/>
        </w:rPr>
      </w:pPr>
    </w:p>
    <w:p>
      <w:pPr>
        <w:ind w:left="40" w:right="79" w:firstLine="4"/>
        <w:spacing w:after="0" w:line="271"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78" w:lineRule="exact"/>
        <w:rPr>
          <w:sz w:val="20"/>
          <w:szCs w:val="20"/>
          <w:color w:val="auto"/>
        </w:rPr>
      </w:pPr>
    </w:p>
    <w:p>
      <w:pPr>
        <w:ind w:left="40" w:right="259" w:firstLine="389"/>
        <w:spacing w:after="0" w:line="257" w:lineRule="auto"/>
        <w:rPr>
          <w:sz w:val="20"/>
          <w:szCs w:val="20"/>
          <w:color w:val="auto"/>
        </w:rPr>
      </w:pPr>
      <w:r>
        <w:rPr>
          <w:rFonts w:ascii="Arial" w:cs="Arial" w:eastAsia="Arial" w:hAnsi="Arial"/>
          <w:sz w:val="18"/>
          <w:szCs w:val="18"/>
          <w:color w:val="auto"/>
        </w:rPr>
        <w:t>In the event FreshRealm fails to pay the Loan Payoff Amount by the Loan Payoff Period, the Notes shall remain in full force and effect, and pursuant to a warrant issued to Calavo, Calavo shall have the right to purchase 4,207,397 equity units in Fresh Realm. The Notes have an interest rate of 1.46% per annum with a maturity date of April 1, 2022 and are secured in all of the assets and collateral of FreshRealm pursuant to that certain Third Amended and Restated Security Agreement dated February 3, 2021.</w:t>
      </w:r>
    </w:p>
    <w:p>
      <w:pPr>
        <w:spacing w:after="0" w:line="188" w:lineRule="exact"/>
        <w:rPr>
          <w:sz w:val="20"/>
          <w:szCs w:val="20"/>
          <w:color w:val="auto"/>
        </w:rPr>
      </w:pPr>
    </w:p>
    <w:p>
      <w:pPr>
        <w:ind w:left="40" w:right="219" w:firstLine="389"/>
        <w:spacing w:after="0" w:line="279" w:lineRule="auto"/>
        <w:rPr>
          <w:sz w:val="20"/>
          <w:szCs w:val="20"/>
          <w:color w:val="auto"/>
        </w:rPr>
      </w:pPr>
      <w:r>
        <w:rPr>
          <w:rFonts w:ascii="Arial" w:cs="Arial" w:eastAsia="Arial" w:hAnsi="Arial"/>
          <w:sz w:val="17"/>
          <w:szCs w:val="17"/>
          <w:color w:val="auto"/>
        </w:rPr>
        <w:t>If FreshRealm (i) pays to Calavo the Loan Payoff Amount within the Loan Payoff Period; and (ii) undergoes a “Success Event” in the future, including: a merger, a majority sale of FreshRealm’s assets or equity ownership interests, a private placement, or an initial public offering where FreshRealm as a company is valued at $100 million or more, FreshRealm must pay to the Company additional compensation in accordance with the following:</w:t>
      </w:r>
    </w:p>
    <w:p>
      <w:pPr>
        <w:spacing w:after="0" w:line="171" w:lineRule="exact"/>
        <w:rPr>
          <w:sz w:val="20"/>
          <w:szCs w:val="20"/>
          <w:color w:val="auto"/>
        </w:rPr>
      </w:pPr>
    </w:p>
    <w:p>
      <w:pPr>
        <w:ind w:left="680" w:right="279" w:hanging="258"/>
        <w:spacing w:after="0" w:line="342"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FreshRealm must pay Calavo a $10 million payment upon the closing of a Success Event if the valuation of FreshRealm at the time of the Success Event is equal to or greater than $100 million, but less than $230 million;</w:t>
      </w:r>
    </w:p>
    <w:p>
      <w:pPr>
        <w:spacing w:after="0" w:line="123" w:lineRule="exact"/>
        <w:rPr>
          <w:rFonts w:ascii="Arial" w:cs="Arial" w:eastAsia="Arial" w:hAnsi="Arial"/>
          <w:sz w:val="16"/>
          <w:szCs w:val="16"/>
          <w:color w:val="auto"/>
        </w:rPr>
      </w:pPr>
    </w:p>
    <w:p>
      <w:pPr>
        <w:ind w:left="680" w:right="79" w:hanging="258"/>
        <w:spacing w:after="0" w:line="342"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FreshRealm must pay Calavo a $20 million payment upon the closing of a Success Event if the valuation of FreshRealm at the time of the Success Event is equal to or greater than $230 million, but less than $380 million;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579" w:hanging="25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FreshRealm must pay Calavo a $34 million payment upon the closing of a Success Event if the valuation of FreshRealm at the time of the Success Event is equal to or greater than $380 Million.</w:t>
      </w:r>
    </w:p>
    <w:p>
      <w:pPr>
        <w:spacing w:after="0" w:line="170" w:lineRule="exact"/>
        <w:rPr>
          <w:sz w:val="20"/>
          <w:szCs w:val="20"/>
          <w:color w:val="auto"/>
        </w:rPr>
      </w:pPr>
    </w:p>
    <w:p>
      <w:pPr>
        <w:ind w:left="40" w:right="179" w:firstLine="389"/>
        <w:spacing w:after="0" w:line="301" w:lineRule="auto"/>
        <w:rPr>
          <w:sz w:val="20"/>
          <w:szCs w:val="20"/>
          <w:color w:val="auto"/>
        </w:rPr>
      </w:pPr>
      <w:r>
        <w:rPr>
          <w:rFonts w:ascii="Arial" w:cs="Arial" w:eastAsia="Arial" w:hAnsi="Arial"/>
          <w:sz w:val="16"/>
          <w:szCs w:val="16"/>
          <w:color w:val="auto"/>
        </w:rPr>
        <w:t>Aside from the above, if FreshRealm undergoes a sale of its business either through a merger or a majority sale of its assets or equity interests before February 3, 2022, FreshRealm must pay Calavo $6 million, if it hasn’t already paid the Loan Payoff Amount, plus twenty percent (20%) of the purchase price proceeds from such sale of FreshRealm. Due to the substantial uncertainty, no amounts have been recorded on the balance sheet as of April 30, 2021.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40" w:right="219" w:firstLine="259"/>
        <w:spacing w:after="0" w:line="308" w:lineRule="auto"/>
        <w:rPr>
          <w:sz w:val="20"/>
          <w:szCs w:val="20"/>
          <w:color w:val="auto"/>
        </w:rPr>
      </w:pPr>
      <w:r>
        <w:rPr>
          <w:rFonts w:ascii="Arial" w:cs="Arial" w:eastAsia="Arial" w:hAnsi="Arial"/>
          <w:sz w:val="17"/>
          <w:szCs w:val="17"/>
          <w:color w:val="auto"/>
        </w:rPr>
        <w:t>The below tables include non-GAAP measures EBITDA, adjusted EBITDA, adjusted net income and adjusted diluted EPS, which are not prepared in accordance with U.S. generally accepted accounting principles, or “GAAP.”</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40" w:right="119" w:firstLine="4"/>
        <w:spacing w:after="0" w:line="268"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income taxes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1" w:lineRule="exact"/>
        <w:rPr>
          <w:sz w:val="20"/>
          <w:szCs w:val="20"/>
          <w:color w:val="auto"/>
        </w:rPr>
      </w:pPr>
    </w:p>
    <w:p>
      <w:pPr>
        <w:ind w:left="40" w:right="179" w:firstLine="259"/>
        <w:spacing w:after="0" w:line="290" w:lineRule="auto"/>
        <w:rPr>
          <w:sz w:val="20"/>
          <w:szCs w:val="20"/>
          <w:color w:val="auto"/>
        </w:rPr>
      </w:pPr>
      <w:r>
        <w:rPr>
          <w:rFonts w:ascii="Arial" w:cs="Arial" w:eastAsia="Arial" w:hAnsi="Arial"/>
          <w:sz w:val="16"/>
          <w:szCs w:val="16"/>
          <w:color w:val="auto"/>
        </w:rPr>
        <w:t>Adjusted net income is defined as net income (loss) attributable to Calavo Growers, Inc. excluding (1) non-cash net losses (income)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65" w:lineRule="exact"/>
        <w:rPr>
          <w:sz w:val="20"/>
          <w:szCs w:val="20"/>
          <w:color w:val="auto"/>
        </w:rPr>
      </w:pPr>
    </w:p>
    <w:p>
      <w:pPr>
        <w:ind w:left="40" w:right="639" w:firstLine="25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84" w:lineRule="exact"/>
        <w:rPr>
          <w:sz w:val="20"/>
          <w:szCs w:val="20"/>
          <w:color w:val="auto"/>
        </w:rPr>
      </w:pPr>
    </w:p>
    <w:p>
      <w:pPr>
        <w:ind w:left="40" w:right="159" w:firstLine="259"/>
        <w:spacing w:after="0" w:line="257" w:lineRule="auto"/>
        <w:rPr>
          <w:sz w:val="20"/>
          <w:szCs w:val="20"/>
          <w:color w:val="auto"/>
        </w:rPr>
      </w:pPr>
      <w:r>
        <w:rPr>
          <w:rFonts w:ascii="Arial" w:cs="Arial" w:eastAsia="Arial" w:hAnsi="Arial"/>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 (Non-GAAP, Unaudited)</w:t>
      </w:r>
    </w:p>
    <w:p>
      <w:pPr>
        <w:spacing w:after="0" w:line="225" w:lineRule="exact"/>
        <w:rPr>
          <w:sz w:val="20"/>
          <w:szCs w:val="20"/>
          <w:color w:val="auto"/>
        </w:rPr>
      </w:pPr>
    </w:p>
    <w:p>
      <w:pPr>
        <w:ind w:left="40" w:right="159" w:firstLine="259"/>
        <w:spacing w:after="0" w:line="311"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Non-cash losses recognized from unconsolidated entities (a)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management transition expenses (c)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Acquisition costs (d)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impact of adjustments (g)</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0.50</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0.80</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Diluted EPS</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17,679</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right="99" w:hanging="316"/>
        <w:spacing w:after="0" w:line="307"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For the three months ended April 30, 2020, FreshRealm realized losses totaling $5.1 million, of which we recorded $1.9 million of non-cash losses. For the six months ended April 30, 2020, FreshRealm realized losses totaling $14.4 million, of which we recorded $5.4 million of non-cash losses. For the three and six months ended April 30, 2021, we realized losses from Agricola Don Memo totaling $1.1 million and $1.3 million. For the three months ended April 31, 2020, we realized losses from Agricola Don Memo totaling $0.3 million. For the six months ended April 31, 2020, we realized income from Agricola Don Memo totaling $0.2 million.</w:t>
      </w:r>
    </w:p>
    <w:p>
      <w:pPr>
        <w:spacing w:after="0" w:line="61" w:lineRule="exact"/>
        <w:rPr>
          <w:rFonts w:ascii="Arial" w:cs="Arial" w:eastAsia="Arial" w:hAnsi="Arial"/>
          <w:sz w:val="16"/>
          <w:szCs w:val="16"/>
          <w:color w:val="auto"/>
        </w:rPr>
      </w:pPr>
    </w:p>
    <w:p>
      <w:pPr>
        <w:ind w:left="360" w:hanging="316"/>
        <w:spacing w:after="0"/>
        <w:tabs>
          <w:tab w:leader="none" w:pos="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part of the FreshRealm Separation Agreement (See Note 12), we received $0.1 million for previously reserved receivables.</w:t>
      </w:r>
    </w:p>
    <w:p>
      <w:pPr>
        <w:spacing w:after="0" w:line="138" w:lineRule="exact"/>
        <w:rPr>
          <w:rFonts w:ascii="Arial" w:cs="Arial" w:eastAsia="Arial" w:hAnsi="Arial"/>
          <w:sz w:val="15"/>
          <w:szCs w:val="15"/>
          <w:color w:val="auto"/>
        </w:rPr>
      </w:pPr>
    </w:p>
    <w:p>
      <w:pPr>
        <w:ind w:left="360" w:right="259" w:hanging="316"/>
        <w:spacing w:after="0" w:line="27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second quarter of fiscal 2021 includes higher stock-based compensation for the early vesting of restricted stock for the retirement of our former Chief Executive Officer and Board member. Second quarter of fiscal 2020 results include higher stock-based compensation expense related to senior management transitions, which does not impact the underlying cost structure of the company.</w:t>
      </w:r>
    </w:p>
    <w:p>
      <w:pPr>
        <w:spacing w:after="0" w:line="80" w:lineRule="exact"/>
        <w:rPr>
          <w:rFonts w:ascii="Arial" w:cs="Arial" w:eastAsia="Arial" w:hAnsi="Arial"/>
          <w:sz w:val="16"/>
          <w:szCs w:val="16"/>
          <w:color w:val="auto"/>
        </w:rPr>
      </w:pPr>
    </w:p>
    <w:p>
      <w:pPr>
        <w:ind w:left="360" w:right="199" w:hanging="316"/>
        <w:spacing w:after="0" w:line="27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first quarter of 2021, we incurred professional service costs related to a considered but non-consummated acquisition. In the first quarter of 2020, we incurred transaction expenses related to the acquisition of SFFI Company, Inc. doing business as Simply Fresh Fruit.</w:t>
      </w:r>
    </w:p>
    <w:p>
      <w:pPr>
        <w:spacing w:after="0" w:line="76" w:lineRule="exact"/>
        <w:rPr>
          <w:rFonts w:ascii="Arial" w:cs="Arial" w:eastAsia="Arial" w:hAnsi="Arial"/>
          <w:sz w:val="16"/>
          <w:szCs w:val="16"/>
          <w:color w:val="auto"/>
        </w:rPr>
      </w:pPr>
    </w:p>
    <w:p>
      <w:pPr>
        <w:ind w:left="360" w:right="279" w:hanging="316"/>
        <w:spacing w:after="0" w:line="27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and six months ended April 30, 2021, we recorded $3.5 million and $7.1 million in unrealized gains related to these mark-to-market adjustments. For the three and six months ended April 30, 2020, we recorded $10.3 million and $9.3 million in unrealized losses related to these mark-to-market adjustments.</w:t>
      </w:r>
    </w:p>
    <w:p>
      <w:pPr>
        <w:spacing w:after="0" w:line="76" w:lineRule="exact"/>
        <w:rPr>
          <w:rFonts w:ascii="Arial" w:cs="Arial" w:eastAsia="Arial" w:hAnsi="Arial"/>
          <w:sz w:val="16"/>
          <w:szCs w:val="16"/>
          <w:color w:val="auto"/>
        </w:rPr>
      </w:pPr>
    </w:p>
    <w:p>
      <w:pPr>
        <w:ind w:left="360" w:right="99" w:hanging="316"/>
        <w:spacing w:after="0" w:line="29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and six months ended April 30, 2021, we incurred $0.1 million and $0.2 million related to rent paid for RFG corporate office space that we have vacated and plan to sublease.</w:t>
      </w:r>
    </w:p>
    <w:p>
      <w:pPr>
        <w:spacing w:after="0" w:line="63" w:lineRule="exact"/>
        <w:rPr>
          <w:rFonts w:ascii="Arial" w:cs="Arial" w:eastAsia="Arial" w:hAnsi="Arial"/>
          <w:sz w:val="16"/>
          <w:szCs w:val="16"/>
          <w:color w:val="auto"/>
        </w:rPr>
      </w:pPr>
    </w:p>
    <w:p>
      <w:pPr>
        <w:ind w:left="360" w:hanging="316"/>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Reconciliation of EBITDA and Adjusted EBITDA (Non-GAAP, Unaudited)</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17,221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29,744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9"/>
        </w:trPr>
        <w:tc>
          <w:tcPr>
            <w:tcW w:w="56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15,004</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13,711</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24,424</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18,242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six months ended April 30, 2021 and 2020:</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6"/>
          </w:tcPr>
          <w:p>
            <w:pPr>
              <w:jc w:val="right"/>
              <w:ind w:right="29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760" w:type="dxa"/>
            <w:vAlign w:val="bottom"/>
            <w:gridSpan w:val="7"/>
          </w:tcPr>
          <w:p>
            <w:pPr>
              <w:ind w:left="4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$ 161,686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$ 170,868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$ 277,145</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$ 304,058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96,289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186,595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20,736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16 %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17,853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37,194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38,337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intercompany eliminations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4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$ 276,821</w:t>
            </w:r>
          </w:p>
        </w:tc>
        <w:tc>
          <w:tcPr>
            <w:tcW w:w="90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$ 281,166</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$ 497,399</w:t>
            </w:r>
          </w:p>
        </w:tc>
        <w:tc>
          <w:tcPr>
            <w:tcW w:w="90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$ 554,516</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Fresh products</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58.0 %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60.5 %</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55.3 %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54.6 %</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RFG</w:t>
            </w:r>
          </w:p>
        </w:tc>
        <w:tc>
          <w:tcPr>
            <w:tcW w:w="1740" w:type="dxa"/>
            <w:vAlign w:val="bottom"/>
            <w:gridSpan w:val="2"/>
          </w:tcPr>
          <w:p>
            <w:pPr>
              <w:jc w:val="right"/>
              <w:ind w:right="730"/>
              <w:spacing w:after="0"/>
              <w:rPr>
                <w:sz w:val="20"/>
                <w:szCs w:val="20"/>
                <w:color w:val="auto"/>
              </w:rPr>
            </w:pPr>
            <w:r>
              <w:rPr>
                <w:rFonts w:ascii="Arial" w:cs="Arial" w:eastAsia="Arial" w:hAnsi="Arial"/>
                <w:sz w:val="18"/>
                <w:szCs w:val="18"/>
                <w:color w:val="auto"/>
              </w:rPr>
              <w:t>34.5 %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33.1 %</w:t>
            </w:r>
          </w:p>
        </w:tc>
        <w:tc>
          <w:tcPr>
            <w:tcW w:w="1740" w:type="dxa"/>
            <w:vAlign w:val="bottom"/>
            <w:gridSpan w:val="2"/>
          </w:tcPr>
          <w:p>
            <w:pPr>
              <w:jc w:val="right"/>
              <w:ind w:right="730"/>
              <w:spacing w:after="0"/>
              <w:rPr>
                <w:sz w:val="20"/>
                <w:szCs w:val="20"/>
                <w:color w:val="auto"/>
              </w:rPr>
            </w:pPr>
            <w:r>
              <w:rPr>
                <w:rFonts w:ascii="Arial" w:cs="Arial" w:eastAsia="Arial" w:hAnsi="Arial"/>
                <w:sz w:val="18"/>
                <w:szCs w:val="18"/>
                <w:color w:val="auto"/>
              </w:rPr>
              <w:t>37.2 %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38.5 %</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7.4 %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6.3 %</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7.4 %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10"/>
        </w:trPr>
        <w:tc>
          <w:tcPr>
            <w:tcW w:w="3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119" w:firstLine="259"/>
        <w:spacing w:after="0" w:line="342" w:lineRule="auto"/>
        <w:rPr>
          <w:sz w:val="20"/>
          <w:szCs w:val="20"/>
          <w:color w:val="auto"/>
        </w:rPr>
      </w:pPr>
      <w:r>
        <w:rPr>
          <w:rFonts w:ascii="Arial" w:cs="Arial" w:eastAsia="Arial" w:hAnsi="Arial"/>
          <w:sz w:val="16"/>
          <w:szCs w:val="16"/>
          <w:color w:val="auto"/>
        </w:rPr>
        <w:t>Net sales for the three months ended April 30, 2021, compared to the corresponding period in fiscal 2020, decreased by $4.3 million, or approximately 2%. The decrease was due to a decline in the Fresh products segment. Net sales for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six months ended April 30, 2021, compared to the corresponding period in fiscal 2020, decreased by $57.1 million, or approximately 10%. This decrease was due to declines across all segments.</w:t>
      </w:r>
    </w:p>
    <w:p>
      <w:pPr>
        <w:spacing w:after="0" w:line="170" w:lineRule="exact"/>
        <w:rPr>
          <w:sz w:val="20"/>
          <w:szCs w:val="20"/>
          <w:color w:val="auto"/>
        </w:rPr>
      </w:pPr>
    </w:p>
    <w:p>
      <w:pPr>
        <w:ind w:left="40" w:right="159" w:firstLine="259"/>
        <w:spacing w:after="0" w:line="257" w:lineRule="auto"/>
        <w:rPr>
          <w:sz w:val="20"/>
          <w:szCs w:val="20"/>
          <w:color w:val="auto"/>
        </w:rPr>
      </w:pPr>
      <w:r>
        <w:rPr>
          <w:rFonts w:ascii="Arial" w:cs="Arial" w:eastAsia="Arial" w:hAnsi="Arial"/>
          <w:sz w:val="18"/>
          <w:szCs w:val="18"/>
          <w:color w:val="auto"/>
        </w:rPr>
        <w:t>For the three and six months ended April 30, 2021, the decrease in Fresh product sales was due to declines in sales of avocados and tomatoes. For the six months ended April 30, 2021, the decrease in Calavo Foods was due primarily to a decrease in the sales of prepared avocado products. For the six months ended April 30, 2021, the decrease in RFG sales was due primarily to decreased sales from fresh-cut fruit &amp; vegetables and prepared foods products. See discussion below for further details.</w:t>
      </w:r>
    </w:p>
    <w:p>
      <w:pPr>
        <w:spacing w:after="0" w:line="188" w:lineRule="exact"/>
        <w:rPr>
          <w:sz w:val="20"/>
          <w:szCs w:val="20"/>
          <w:color w:val="auto"/>
        </w:rPr>
      </w:pPr>
    </w:p>
    <w:p>
      <w:pPr>
        <w:jc w:val="center"/>
        <w:ind w:left="40" w:right="9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2021 vs. Second Quarter 2020</w:t>
      </w:r>
    </w:p>
    <w:p>
      <w:pPr>
        <w:spacing w:after="0" w:line="225" w:lineRule="exact"/>
        <w:rPr>
          <w:sz w:val="20"/>
          <w:szCs w:val="20"/>
          <w:color w:val="auto"/>
        </w:rPr>
      </w:pPr>
    </w:p>
    <w:p>
      <w:pPr>
        <w:ind w:left="40" w:right="299" w:firstLine="259"/>
        <w:spacing w:after="0" w:line="301" w:lineRule="auto"/>
        <w:rPr>
          <w:sz w:val="20"/>
          <w:szCs w:val="20"/>
          <w:color w:val="auto"/>
        </w:rPr>
      </w:pPr>
      <w:r>
        <w:rPr>
          <w:rFonts w:ascii="Arial" w:cs="Arial" w:eastAsia="Arial" w:hAnsi="Arial"/>
          <w:sz w:val="16"/>
          <w:szCs w:val="16"/>
          <w:color w:val="auto"/>
        </w:rPr>
        <w:t>Net sales for the Fresh products business decreased by approximately $9.2 million, or 5%, for the second quarter of fiscal 2021 compared to the corresponding period in fiscal 2020. This decrease in Fresh product sales during the second quarter of fiscal 2021 was primarily related to decreased sales prices of tomatoes due to higher supply of tomatoes in the marketplace. In addition, avocado sales decreased due to a decline in avocado sales prices.</w:t>
      </w:r>
    </w:p>
    <w:p>
      <w:pPr>
        <w:spacing w:after="0" w:line="157" w:lineRule="exact"/>
        <w:rPr>
          <w:sz w:val="20"/>
          <w:szCs w:val="20"/>
          <w:color w:val="auto"/>
        </w:rPr>
      </w:pPr>
    </w:p>
    <w:p>
      <w:pPr>
        <w:ind w:left="40" w:right="199" w:firstLine="259"/>
        <w:spacing w:after="0" w:line="259" w:lineRule="auto"/>
        <w:rPr>
          <w:sz w:val="20"/>
          <w:szCs w:val="20"/>
          <w:color w:val="auto"/>
        </w:rPr>
      </w:pPr>
      <w:r>
        <w:rPr>
          <w:rFonts w:ascii="Arial" w:cs="Arial" w:eastAsia="Arial" w:hAnsi="Arial"/>
          <w:sz w:val="18"/>
          <w:szCs w:val="18"/>
          <w:color w:val="auto"/>
        </w:rPr>
        <w:t>Sales of tomatoes decreased $5.9 million, or 31%, for the second quarter of 2021, when compared to the prior year period. This decrease in tomato sales was primarily due to a 25% decrease in the average sales price per carton compared to the prior year period, in addition to a decrease of 8% of the number of tomato cartons sold due to a delay in the start of the growing season.</w:t>
      </w:r>
    </w:p>
    <w:p>
      <w:pPr>
        <w:spacing w:after="0" w:line="187"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Sales of avocados decreased $3.6 million, or 2%, for the second quarter of 2021 compared to the prior year period. The average avocado sales price per carton decreased 10% compared to the prior year period. This decrease in the sales price per carton was mainly due to an increase of supply of avocados in the marketplace. The volume of avocados sold in the second quarter of 2021 increased 9% compared to the prior year period.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April 30, 2021 vs. Six Months Ended April 30, 2020</w:t>
      </w:r>
    </w:p>
    <w:p>
      <w:pPr>
        <w:spacing w:after="0" w:line="225"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Net sales for the Fresh products business decreased by approximately $26.9 million, or 9%, for the six months ended April 30, 2021, compared to the corresponding period in fiscal 2020. This decrease was primarily related to decreased sales prices of avocados due to higher supply of avocados in the marketplace. In addition, tomato sales decreased due to a decline of tomato sales prices.</w:t>
      </w:r>
    </w:p>
    <w:p>
      <w:pPr>
        <w:spacing w:after="0" w:line="187" w:lineRule="exact"/>
        <w:rPr>
          <w:sz w:val="20"/>
          <w:szCs w:val="20"/>
          <w:color w:val="auto"/>
        </w:rPr>
      </w:pPr>
    </w:p>
    <w:p>
      <w:pPr>
        <w:ind w:left="40" w:right="139" w:firstLine="259"/>
        <w:spacing w:after="0" w:line="279" w:lineRule="auto"/>
        <w:rPr>
          <w:sz w:val="20"/>
          <w:szCs w:val="20"/>
          <w:color w:val="auto"/>
        </w:rPr>
      </w:pPr>
      <w:r>
        <w:rPr>
          <w:rFonts w:ascii="Arial" w:cs="Arial" w:eastAsia="Arial" w:hAnsi="Arial"/>
          <w:sz w:val="17"/>
          <w:szCs w:val="17"/>
          <w:color w:val="auto"/>
        </w:rPr>
        <w:t>Sales of avocados decreased $17.8 million, or 7%, for the six months ended April 30, 2021, compared to the prior year period. The average avocado sales price per carton decreased 11% compared to the prior year period. This decrease in the sales price per carton was mainly due to an increase of supply of avocados in the marketplace. The volume of avocados sold in the six months ended April 30, 2021 increased 5% compared to the prior year period.</w:t>
      </w:r>
    </w:p>
    <w:p>
      <w:pPr>
        <w:spacing w:after="0" w:line="171" w:lineRule="exact"/>
        <w:rPr>
          <w:sz w:val="20"/>
          <w:szCs w:val="20"/>
          <w:color w:val="auto"/>
        </w:rPr>
      </w:pPr>
    </w:p>
    <w:p>
      <w:pPr>
        <w:jc w:val="both"/>
        <w:ind w:left="40" w:right="179" w:firstLine="259"/>
        <w:spacing w:after="0" w:line="259" w:lineRule="auto"/>
        <w:rPr>
          <w:sz w:val="20"/>
          <w:szCs w:val="20"/>
          <w:color w:val="auto"/>
        </w:rPr>
      </w:pPr>
      <w:r>
        <w:rPr>
          <w:rFonts w:ascii="Arial" w:cs="Arial" w:eastAsia="Arial" w:hAnsi="Arial"/>
          <w:sz w:val="18"/>
          <w:szCs w:val="18"/>
          <w:color w:val="auto"/>
        </w:rPr>
        <w:t>Sales of tomatoes decreased $9.7 million, or 30%, for the six months ended April 30, 2021, compared to the prior year period. This decrease in tomato sales was primarily due to a 25% decrease in the average sales price per carton compared to the prior year period, in addition to a decrease of 6% of the number of tomato cartons sold due to a delay in the start of the growing season.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2021 vs. Second Quarter 2020</w:t>
      </w:r>
    </w:p>
    <w:p>
      <w:pPr>
        <w:spacing w:after="0" w:line="225"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Net sales for RFG for the quarter ended April 30, 2021, compared to the corresponding period in fiscal 2020, increased $2.8 million, or 3%. The increase was primarily due to additional sales in regions where RFG has added manufacturing capacity. This was partially offset by a decrease due to lower sales out of the Midwest, relating to the closure of RFG’s co-packing partner in that region, which occurred in April 2020.</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April 30, 2021 vs. Six Months Ended April 30, 2020</w:t>
      </w:r>
    </w:p>
    <w:p>
      <w:pPr>
        <w:spacing w:after="0" w:line="225"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Net sales for RFG for the six months end April 30, 2021, compared to the corresponding period in fiscal 2020, decreased $27.9 million, or 13%. The decrease was primarily due to lower sales out of the Midwest, relating to the closure of RFG’s co-packing partner in that region, which occurred in April 2020. This was partially offset by additional sales in regions where RFG has added manufacturing capacity. Additionally, changing consumer demand and buying patterns related to COVID-19 adversely impacted RFG’s sales during the quarter.</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2021 vs. Second Quarter 2020</w:t>
      </w:r>
    </w:p>
    <w:p>
      <w:pPr>
        <w:spacing w:after="0" w:line="225"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Net sales for Calavo Foods for the quarter ended April 30, 2021, compared to the corresponding period in fiscal 2020, increased $2.9 million, or 16%. Sales of prepared avocado products increased by approximately $2.8 million, or 16%, primarily related to an increase in the total volume of pounds sold.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April 30, 2021 vs. Six Months Ended April 30, 2020</w:t>
      </w:r>
    </w:p>
    <w:p>
      <w:pPr>
        <w:spacing w:after="0" w:line="225" w:lineRule="exact"/>
        <w:rPr>
          <w:sz w:val="20"/>
          <w:szCs w:val="20"/>
          <w:color w:val="auto"/>
        </w:rPr>
      </w:pPr>
    </w:p>
    <w:p>
      <w:pPr>
        <w:ind w:left="40" w:right="119" w:firstLine="259"/>
        <w:spacing w:after="0" w:line="301" w:lineRule="auto"/>
        <w:rPr>
          <w:sz w:val="20"/>
          <w:szCs w:val="20"/>
          <w:color w:val="auto"/>
        </w:rPr>
      </w:pPr>
      <w:r>
        <w:rPr>
          <w:rFonts w:ascii="Arial" w:cs="Arial" w:eastAsia="Arial" w:hAnsi="Arial"/>
          <w:sz w:val="16"/>
          <w:szCs w:val="16"/>
          <w:color w:val="auto"/>
        </w:rPr>
        <w:t>Net sales for Calavo Foods for the six months ended April 30, 2021, compared to the corresponding period in fiscal 2020, decreased $1.1 million, or 3%. Sales of prepared avocado products decreased by approximately $1.2 million, or 3%, primarily related to an decreased in the total volume of pounds sold. Sales of prepared avocado products were impacted primarily by a decline in demand from foodservice customers related to COVID-19 during the year.</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six months ended April 30, 2021 and 2020:</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54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Change</w:t>
            </w: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$ 15,008</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4 % $ 14,405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$ 28,153</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34 % $ 20,987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10,020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11,286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$ 22,600</w:t>
            </w:r>
          </w:p>
        </w:tc>
        <w:tc>
          <w:tcPr>
            <w:tcW w:w="92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$ 22,075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$ 40,439</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$ 37,883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 percentages:</w:t>
            </w: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9.3 %</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8.4 %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10.2 %</w:t>
            </w:r>
          </w:p>
        </w:tc>
        <w:tc>
          <w:tcPr>
            <w:tcW w:w="11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2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2.4 %</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25.6 %</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27.6 %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26.9 %</w:t>
            </w:r>
          </w:p>
        </w:tc>
        <w:tc>
          <w:tcPr>
            <w:tcW w:w="1140" w:type="dxa"/>
            <w:vAlign w:val="bottom"/>
          </w:tcPr>
          <w:p>
            <w:pPr>
              <w:jc w:val="right"/>
              <w:spacing w:after="0"/>
              <w:rPr>
                <w:sz w:val="20"/>
                <w:szCs w:val="20"/>
                <w:color w:val="auto"/>
              </w:rPr>
            </w:pPr>
            <w:r>
              <w:rPr>
                <w:rFonts w:ascii="Arial" w:cs="Arial" w:eastAsia="Arial" w:hAnsi="Arial"/>
                <w:sz w:val="18"/>
                <w:szCs w:val="18"/>
                <w:color w:val="auto"/>
              </w:rPr>
              <w:t>29.4 %</w:t>
            </w: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8.2 %</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239" w:firstLine="259"/>
        <w:spacing w:after="0" w:line="263" w:lineRule="auto"/>
        <w:rPr>
          <w:sz w:val="20"/>
          <w:szCs w:val="20"/>
          <w:color w:val="auto"/>
        </w:rPr>
      </w:pPr>
      <w:r>
        <w:rPr>
          <w:rFonts w:ascii="Arial" w:cs="Arial" w:eastAsia="Arial" w:hAnsi="Arial"/>
          <w:sz w:val="18"/>
          <w:szCs w:val="18"/>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w:t>
      </w:r>
    </w:p>
    <w:p>
      <w:pPr>
        <w:spacing w:after="0" w:line="184"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Gross profit increased by approximately $0.5 million, or 2%, for the second quarter of fiscal 2021 compared to the corresponding period in fiscal 2020. The increase was primarily attributable to gross profit improvements in the Fresh products segment and the Calavo Foods segment, partially offset by the RFG segment. Gross profit increased by approximately $2.6 million, or 7%, for the six months ended April 30, 2021, compared to the corresponding period in fiscal 2020. The increase was primarily attributable to gross profit improvements in the Fresh products segment, partially offset by the Calavo Foods and RFG segments.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40" w:right="159" w:firstLine="259"/>
        <w:spacing w:after="0" w:line="279" w:lineRule="auto"/>
        <w:rPr>
          <w:sz w:val="20"/>
          <w:szCs w:val="20"/>
          <w:color w:val="auto"/>
        </w:rPr>
      </w:pPr>
      <w:r>
        <w:rPr>
          <w:rFonts w:ascii="Arial" w:cs="Arial" w:eastAsia="Arial" w:hAnsi="Arial"/>
          <w:sz w:val="17"/>
          <w:szCs w:val="17"/>
          <w:color w:val="auto"/>
        </w:rPr>
        <w:t>The increase in our Fresh products segment gross profit percentage for the quarter ended April 30, 2021, was the result of increased gross profit for avocados. For the second quarter of fiscal 2021, the gross profit percentage for avocados was 9.2% compared to 8.4% for the second quarter of 2020. In fiscal 2021, we were able to manage the spread between the sales price and the fruit cost of avocados more effectively compared to the prior year period.</w:t>
      </w:r>
    </w:p>
    <w:p>
      <w:pPr>
        <w:spacing w:after="0" w:line="171" w:lineRule="exact"/>
        <w:rPr>
          <w:sz w:val="20"/>
          <w:szCs w:val="20"/>
          <w:color w:val="auto"/>
        </w:rPr>
      </w:pPr>
    </w:p>
    <w:p>
      <w:pPr>
        <w:ind w:left="40" w:right="59" w:firstLine="304"/>
        <w:spacing w:after="0" w:line="286" w:lineRule="auto"/>
        <w:rPr>
          <w:sz w:val="20"/>
          <w:szCs w:val="20"/>
          <w:color w:val="auto"/>
        </w:rPr>
      </w:pPr>
      <w:r>
        <w:rPr>
          <w:rFonts w:ascii="Arial" w:cs="Arial" w:eastAsia="Arial" w:hAnsi="Arial"/>
          <w:sz w:val="17"/>
          <w:szCs w:val="17"/>
          <w:color w:val="auto"/>
        </w:rPr>
        <w:t>Gross profit for the quarter was also affected by the weakening of the U.S. dollar in relation to the Mexican peso during the quarter, resulting in a $0.5 million net loss related the remeasurement of peso-dominated net assets at our Mexican subsidiaries. During the same period last year, we had a remeasurement loss of $3.4 million.</w:t>
      </w:r>
    </w:p>
    <w:p>
      <w:pPr>
        <w:spacing w:after="0" w:line="165" w:lineRule="exact"/>
        <w:rPr>
          <w:sz w:val="20"/>
          <w:szCs w:val="20"/>
          <w:color w:val="auto"/>
        </w:rPr>
      </w:pPr>
    </w:p>
    <w:p>
      <w:pPr>
        <w:ind w:left="40" w:right="379" w:firstLine="259"/>
        <w:spacing w:after="0" w:line="301" w:lineRule="auto"/>
        <w:rPr>
          <w:sz w:val="20"/>
          <w:szCs w:val="20"/>
          <w:color w:val="auto"/>
        </w:rPr>
      </w:pPr>
      <w:r>
        <w:rPr>
          <w:rFonts w:ascii="Arial" w:cs="Arial" w:eastAsia="Arial" w:hAnsi="Arial"/>
          <w:sz w:val="16"/>
          <w:szCs w:val="16"/>
          <w:color w:val="auto"/>
        </w:rPr>
        <w:t>The increase in our Fresh products segment gross profit percentage for the six months ended April 30, 2021 was the result of increased gross profit for avocados. For the six months ended April 30, 2021, the gross profit percentage for avocados was 10.1% compared to 6.9% for the prior year period. In fiscal 2021, we were able to manage the spread between the sales price and the fruit cost of avocados more effectively compared to the prior year period.</w:t>
      </w:r>
    </w:p>
    <w:p>
      <w:pPr>
        <w:spacing w:after="0" w:line="157" w:lineRule="exact"/>
        <w:rPr>
          <w:sz w:val="20"/>
          <w:szCs w:val="20"/>
          <w:color w:val="auto"/>
        </w:rPr>
      </w:pPr>
    </w:p>
    <w:p>
      <w:pPr>
        <w:ind w:left="40" w:right="579" w:firstLine="304"/>
        <w:spacing w:after="0" w:line="259" w:lineRule="auto"/>
        <w:rPr>
          <w:sz w:val="20"/>
          <w:szCs w:val="20"/>
          <w:color w:val="auto"/>
        </w:rPr>
      </w:pPr>
      <w:r>
        <w:rPr>
          <w:rFonts w:ascii="Arial" w:cs="Arial" w:eastAsia="Arial" w:hAnsi="Arial"/>
          <w:sz w:val="18"/>
          <w:szCs w:val="18"/>
          <w:color w:val="auto"/>
        </w:rPr>
        <w:t>Gross profit for the six month period was also affected by the strengthening of the U.S. dollar in relation to the Mexican peso during the six months ended April 30, 2021, which resulted in a $0.6 million net gain related the remeasurement of peso-dominated net assets at our Mexican subsidiaries. During the same period last year, we had a remeasurement loss of $3.3 million.</w:t>
      </w:r>
    </w:p>
    <w:p>
      <w:pPr>
        <w:spacing w:after="0" w:line="187"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Note that any additional significant fluctuations in the exchange rate between the U.S. dollar and the Mexican peso may have a material impact on future gross profits for our Fresh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40" w:right="239" w:firstLine="324"/>
        <w:spacing w:after="0" w:line="296" w:lineRule="auto"/>
        <w:rPr>
          <w:sz w:val="20"/>
          <w:szCs w:val="20"/>
          <w:color w:val="auto"/>
        </w:rPr>
      </w:pPr>
      <w:r>
        <w:rPr>
          <w:rFonts w:ascii="Arial" w:cs="Arial" w:eastAsia="Arial" w:hAnsi="Arial"/>
          <w:sz w:val="16"/>
          <w:szCs w:val="16"/>
          <w:color w:val="auto"/>
        </w:rPr>
        <w:t>RFG’s gross profit percentage for the quarter ended April 30, 2021 was 2.4%, compared to 2.9% for the prior year period. RFG’s gross profit percentage for the six months ended April 30, 2021 was 1.2%, compared to 2.6% for the prior year period. The declines in gross profit for the quarter and six months ended April 30, 2021, were due to increased commodity costs, lack of availability of key commodities, lower supply of labor that caused increase overtime costs, and extraordinary weather events</w:t>
      </w:r>
      <w:r>
        <w:rPr>
          <w:rFonts w:ascii="Arial" w:cs="Arial" w:eastAsia="Arial" w:hAnsi="Arial"/>
          <w:sz w:val="16"/>
          <w:szCs w:val="16"/>
          <w:color w:val="212529"/>
        </w:rPr>
        <w:t>. In addition, we experienced losses</w:t>
      </w:r>
      <w:r>
        <w:rPr>
          <w:rFonts w:ascii="Arial" w:cs="Arial" w:eastAsia="Arial" w:hAnsi="Arial"/>
          <w:sz w:val="16"/>
          <w:szCs w:val="16"/>
          <w:color w:val="auto"/>
        </w:rPr>
        <w:t xml:space="preserve"> due to the closure of our Midwest co-packing partner.</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Calavo Foods’ gross profit percentage for the second quarter of fiscal 2021 was 25.6%, compared to 27.6% for the prior year period. Calavo Foods’ gross profit percentage for the six months ended April 30, 2021 was 26.9%, compared to 29.4% for the prior year period. The decreases in Calavo Foods gross profit percentage were due primarily to higher per pound manufacturing costs primarily related to less pounds produced. Partially offsetting these higher costs, we had declines in overall fruit costs due to a large supply of avocados in the marketplace. Any significant fluctuation in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cost of fruit used in the production process or the exchange rate between the U.S. dollar and the Mexican peso may have a material impact on future gross profit for our Calavo Foods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 April 30,</w:t>
            </w:r>
          </w:p>
        </w:tc>
        <w:tc>
          <w:tcPr>
            <w:tcW w:w="60" w:type="dxa"/>
            <w:vAlign w:val="bottom"/>
          </w:tcPr>
          <w:p>
            <w:pPr>
              <w:spacing w:after="0"/>
              <w:rPr>
                <w:sz w:val="14"/>
                <w:szCs w:val="14"/>
                <w:color w:val="auto"/>
              </w:rPr>
            </w:pPr>
          </w:p>
        </w:tc>
        <w:tc>
          <w:tcPr>
            <w:tcW w:w="25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Six months ended April 30,</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40" w:type="dxa"/>
            <w:vAlign w:val="bottom"/>
            <w:gridSpan w:val="7"/>
          </w:tcPr>
          <w:p>
            <w:pPr>
              <w:jc w:val="right"/>
              <w:ind w:right="3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60" w:type="dxa"/>
            <w:vAlign w:val="bottom"/>
            <w:gridSpan w:val="7"/>
          </w:tcPr>
          <w:p>
            <w:pPr>
              <w:jc w:val="right"/>
              <w:ind w:right="40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$ 13,683</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$ 14,504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$ 27,857</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$ 30,802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4.9 %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5.6 %</w:t>
            </w:r>
          </w:p>
        </w:tc>
      </w:tr>
    </w:tbl>
    <w:p>
      <w:pPr>
        <w:spacing w:after="0" w:line="187"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Selling, general and administrative expenses of $13.7 million for the three months ended April 30, 2021 include costs of marketing and advertising, sales expenses (including broker commissions) and other general and administrative costs. Selling, general and administrative expenses decreased by $0.8 million, or 6%, for the three months ended April 30, 2021 compared to the prior year period. This decrease was primarily due to prior year stock grants for certain management transition expenses ($1.1 million), a decrease in broker commission ($0.3 million) and a decrease in salaries and benefit expense due to the eliminations of staff positions ($0.2 million). Partially offsetting these decreases was the vesting of restricted stock for the retirement of Lecil Cole, our former Chief Executive Officer and Board member ($0.7 million).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Selling, general and administrative expenses decreased by $2.9 million, or 10%, for the six months ended April 30,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 compared to the prior year period. This decrease was primarily due to a decrease in salaries and benefit expense due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eliminations of staff positions ($2.1 million), prior year stock grants for certain management transition expenses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($1.1 million), and a decrease in broker commission ($0.6 million). Partially offsetting these decreases was the vesting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stock for the retirement of Mr. Cole ($0.7 million).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Three months ended April 30,</w:t>
            </w:r>
          </w:p>
        </w:tc>
        <w:tc>
          <w:tcPr>
            <w:tcW w:w="23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29"/>
        </w:trPr>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1"/>
                <w:szCs w:val="11"/>
                <w:color w:val="auto"/>
              </w:rPr>
            </w:pPr>
          </w:p>
        </w:tc>
        <w:tc>
          <w:tcPr>
            <w:tcW w:w="226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1"/>
                <w:szCs w:val="1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(2,177)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(1,286)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 (5,205)</w:t>
            </w:r>
          </w:p>
        </w:tc>
      </w:tr>
    </w:tbl>
    <w:p>
      <w:pPr>
        <w:spacing w:after="0" w:line="202" w:lineRule="exact"/>
        <w:rPr>
          <w:sz w:val="20"/>
          <w:szCs w:val="20"/>
          <w:color w:val="auto"/>
        </w:rPr>
      </w:pPr>
    </w:p>
    <w:p>
      <w:pPr>
        <w:ind w:left="40" w:right="79" w:firstLine="180"/>
        <w:spacing w:after="0" w:line="272" w:lineRule="auto"/>
        <w:rPr>
          <w:sz w:val="20"/>
          <w:szCs w:val="20"/>
          <w:color w:val="auto"/>
        </w:rPr>
      </w:pPr>
      <w:r>
        <w:rPr>
          <w:rFonts w:ascii="Arial" w:cs="Arial" w:eastAsia="Arial" w:hAnsi="Arial"/>
          <w:sz w:val="17"/>
          <w:szCs w:val="17"/>
          <w:color w:val="auto"/>
        </w:rPr>
        <w:t>Losses from unconsolidated entities includes our participation in earnings or losses from our investments in FreshRealm and Don Memo. For the three and six months ended April 30, 2021, we realized losses from Agricola Don Memo totaling $1.1 million and $1.3 million. For the three months ended April 31, 2020, we realized losses from Agricola Don Memo totaling $0.3 million. For the six months ended April 31, 2020, we realized income from Agricola Don Memo totaling $0.2 million. For the three months ended April 30, 2020, FreshRealm realized losses totaling $5.1 million, of which we recorded $1.9 million of non-cash losses. For the six months ended April 30, 2020, FreshRealm realized losses totaling $14.4 million, of which we recorded $5.4 million of non-cash losses.</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(Provision) Benefit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Three months ended April 30,</w:t>
            </w:r>
          </w:p>
        </w:tc>
        <w:tc>
          <w:tcPr>
            <w:tcW w:w="22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April 30,</w:t>
            </w:r>
          </w:p>
        </w:tc>
      </w:tr>
      <w:tr>
        <w:trPr>
          <w:trHeight w:val="142"/>
        </w:trPr>
        <w:tc>
          <w:tcPr>
            <w:tcW w:w="44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9"/>
              </w:rPr>
              <w:t>Change  2020</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9"/>
              </w:rPr>
              <w:t>Change  2020</w:t>
            </w:r>
          </w:p>
        </w:tc>
        <w:tc>
          <w:tcPr>
            <w:tcW w:w="200" w:type="dxa"/>
            <w:vAlign w:val="bottom"/>
          </w:tcPr>
          <w:p>
            <w:pPr>
              <w:spacing w:after="0"/>
              <w:rPr>
                <w:sz w:val="12"/>
                <w:szCs w:val="12"/>
                <w:color w:val="auto"/>
              </w:rPr>
            </w:pPr>
          </w:p>
        </w:tc>
      </w:tr>
      <w:tr>
        <w:trPr>
          <w:trHeight w:val="210"/>
        </w:trPr>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(2,772)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 $ 1,208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(4,715)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 $ 1,858</w:t>
            </w: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24.0 %</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26.2 %</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25.2 %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29.7 %</w:t>
            </w:r>
          </w:p>
        </w:tc>
      </w:tr>
    </w:tbl>
    <w:p>
      <w:pPr>
        <w:spacing w:after="0" w:line="187" w:lineRule="exact"/>
        <w:rPr>
          <w:sz w:val="20"/>
          <w:szCs w:val="20"/>
          <w:color w:val="auto"/>
        </w:rPr>
      </w:pPr>
    </w:p>
    <w:p>
      <w:pPr>
        <w:jc w:val="both"/>
        <w:ind w:left="40" w:right="119" w:firstLine="225"/>
        <w:spacing w:after="0" w:line="277"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w:t>
      </w:r>
    </w:p>
    <w:p>
      <w:pPr>
        <w:spacing w:after="0" w:line="170" w:lineRule="exact"/>
        <w:rPr>
          <w:sz w:val="20"/>
          <w:szCs w:val="20"/>
          <w:color w:val="auto"/>
        </w:rPr>
      </w:pPr>
    </w:p>
    <w:p>
      <w:pPr>
        <w:ind w:left="40" w:right="99" w:firstLine="225"/>
        <w:spacing w:after="0" w:line="311" w:lineRule="auto"/>
        <w:rPr>
          <w:sz w:val="20"/>
          <w:szCs w:val="20"/>
          <w:color w:val="auto"/>
        </w:rPr>
      </w:pPr>
      <w:r>
        <w:rPr>
          <w:rFonts w:ascii="Arial" w:cs="Arial" w:eastAsia="Arial" w:hAnsi="Arial"/>
          <w:sz w:val="16"/>
          <w:szCs w:val="16"/>
          <w:color w:val="auto"/>
        </w:rPr>
        <w:t xml:space="preserve">For the first quarter ended in fiscal 2020, we recorded a discrete income tax benefit of approximately $0.2 million, pursuant to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Our effective tax rate was higher in the first quarter of fiscal 2020 as a result of discrete excess tax benefits on vesting share-based compensation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6" w:lineRule="auto"/>
        <w:rPr>
          <w:sz w:val="20"/>
          <w:szCs w:val="20"/>
          <w:color w:val="auto"/>
        </w:rPr>
      </w:pPr>
      <w:r>
        <w:rPr>
          <w:rFonts w:ascii="Arial" w:cs="Arial" w:eastAsia="Arial" w:hAnsi="Arial"/>
          <w:sz w:val="17"/>
          <w:szCs w:val="17"/>
          <w:color w:val="auto"/>
        </w:rPr>
        <w:t>addition to the tax benefit associated with the quarter-to-date loss.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239" w:firstLine="259"/>
        <w:spacing w:after="0" w:line="291" w:lineRule="auto"/>
        <w:rPr>
          <w:sz w:val="20"/>
          <w:szCs w:val="20"/>
          <w:color w:val="auto"/>
        </w:rPr>
      </w:pPr>
      <w:r>
        <w:rPr>
          <w:rFonts w:ascii="Arial" w:cs="Arial" w:eastAsia="Arial" w:hAnsi="Arial"/>
          <w:sz w:val="16"/>
          <w:szCs w:val="16"/>
          <w:color w:val="auto"/>
        </w:rPr>
        <w:t>Cash provided by operating activities was $10.4 million for the six months ended April 30, 2021, compared to cash used by operating activities of $3.0 million for the corresponding period in fiscal 2020. Cash used by operating activities for the six months ended April 30, 2021 reflect primarily our net income of $14.0 million, plus add-backs for non-cash activities (depreciation and amortization, stock-based compensation expense, provision for losses on accounts receivable, losses from unconsolidated entities, net gains or losses on Limoneira shares, deferred taxes, loss on disposal of property, plant and equipment, loss on the reserve for FreshRealm and gain on the sale of the Temecula packinghouse) of $4.8 million and a net decrease in the components of our working capital of approximately $8.4 million.</w:t>
      </w:r>
    </w:p>
    <w:p>
      <w:pPr>
        <w:spacing w:after="0" w:line="166" w:lineRule="exact"/>
        <w:rPr>
          <w:sz w:val="20"/>
          <w:szCs w:val="20"/>
          <w:color w:val="auto"/>
        </w:rPr>
      </w:pPr>
    </w:p>
    <w:p>
      <w:pPr>
        <w:ind w:left="40" w:right="219" w:firstLine="259"/>
        <w:spacing w:after="0" w:line="275" w:lineRule="auto"/>
        <w:rPr>
          <w:sz w:val="20"/>
          <w:szCs w:val="20"/>
          <w:color w:val="auto"/>
        </w:rPr>
      </w:pPr>
      <w:r>
        <w:rPr>
          <w:rFonts w:ascii="Arial" w:cs="Arial" w:eastAsia="Arial" w:hAnsi="Arial"/>
          <w:sz w:val="17"/>
          <w:szCs w:val="17"/>
          <w:color w:val="auto"/>
        </w:rPr>
        <w:t>Decreases in operating cash flows caused by working capital changes include an increase in accounts receivable of $26.4 million, an increase in inventory of $11.6 million, an increase in other assets of $5.1 million, and an increase in advances to suppliers of $4.5 million, partially offset by an increase in payable to growers of $20.0 million, a net increase in accounts payable and accrued expenses of $8.3 million, a decrease in income taxes receivable of $8.2 million, and an increase in prepaid expenses and other current assets of $2.7 million.</w:t>
      </w:r>
    </w:p>
    <w:p>
      <w:pPr>
        <w:spacing w:after="0" w:line="176" w:lineRule="exact"/>
        <w:rPr>
          <w:sz w:val="20"/>
          <w:szCs w:val="20"/>
          <w:color w:val="auto"/>
        </w:rPr>
      </w:pPr>
    </w:p>
    <w:p>
      <w:pPr>
        <w:ind w:left="40" w:right="79" w:firstLine="259"/>
        <w:spacing w:after="0" w:line="289" w:lineRule="auto"/>
        <w:rPr>
          <w:sz w:val="20"/>
          <w:szCs w:val="20"/>
          <w:color w:val="auto"/>
        </w:rPr>
      </w:pPr>
      <w:r>
        <w:rPr>
          <w:rFonts w:ascii="Arial" w:cs="Arial" w:eastAsia="Arial" w:hAnsi="Arial"/>
          <w:sz w:val="16"/>
          <w:szCs w:val="16"/>
          <w:color w:val="auto"/>
        </w:rPr>
        <w:t>The increase in our accounts receivable, as of April 30, 2021 when compared to October 31, 2020, is primarily due an increase in sales in April 2021 compared to October 2020. The increase in our inventory, as of April 30, 2021 when compared to October 31, 2020, is primarily due to higher inventory of California and Mexican Avocados. The increase in other assets is primarily related to the increase in IVA receivable in fiscal 2021. The increase in advances to suppliers is mainly due to advances to our tomato growers in the first six months of fiscal 2021.The increase in payable to growers is mostly due to increased volumes and sales prices for California and Mexican avocados in the month of April 2021 compared to October 2020. The increase in accounts payable and accrued expenses is primarily related to an increase in payables related to an increase in the volume of California and Mexican avocados. The decrease in income taxes receivable is due to the net income and the timing of estimated payments made during the six months ended April 30, 2021.</w:t>
      </w:r>
    </w:p>
    <w:p>
      <w:pPr>
        <w:spacing w:after="0" w:line="166" w:lineRule="exact"/>
        <w:rPr>
          <w:sz w:val="20"/>
          <w:szCs w:val="20"/>
          <w:color w:val="auto"/>
        </w:rPr>
      </w:pPr>
    </w:p>
    <w:p>
      <w:pPr>
        <w:ind w:left="40" w:right="179" w:firstLine="259"/>
        <w:spacing w:after="0" w:line="342" w:lineRule="auto"/>
        <w:rPr>
          <w:sz w:val="20"/>
          <w:szCs w:val="20"/>
          <w:color w:val="auto"/>
        </w:rPr>
      </w:pPr>
      <w:r>
        <w:rPr>
          <w:rFonts w:ascii="Arial" w:cs="Arial" w:eastAsia="Arial" w:hAnsi="Arial"/>
          <w:sz w:val="16"/>
          <w:szCs w:val="16"/>
          <w:color w:val="auto"/>
        </w:rPr>
        <w:t>Cash used in investing activities was $9.0 million for the six months ended April 30, 2021, which primarily related to the purchases of property, plant and equipment of $7.7 million and infrastructure advances to Don Memo for $1.3 million.</w:t>
      </w:r>
    </w:p>
    <w:p>
      <w:pPr>
        <w:spacing w:after="0" w:line="124"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Cash provided by financing activities was $0.1 million for the six months ended April 30, 2021, which related principally to the net proceeds on our credit facilities totaling $21.7 million, partially offset by, payment of our $20.3 million dividend, payments on long-term obligations of $0.7 million and the payment of minimum withholding taxes on net share settlement of equity awards of $0.6 million.</w:t>
      </w:r>
    </w:p>
    <w:p>
      <w:pPr>
        <w:spacing w:after="0" w:line="187"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amounts available for borrowing under our existing Credit Facility, and our investment in Limoneira shares. Cash and cash equivalents as of April 30, 2021 and October 31, 2020 totaled $5.6 million and $4.1 million. Our working capital at April 30, 2021 was $74.8 million, compared to $29.6 million at October 31, 2020.</w:t>
      </w:r>
    </w:p>
    <w:p>
      <w:pPr>
        <w:spacing w:after="0" w:line="187" w:lineRule="exact"/>
        <w:rPr>
          <w:sz w:val="20"/>
          <w:szCs w:val="20"/>
          <w:color w:val="auto"/>
        </w:rPr>
      </w:pPr>
    </w:p>
    <w:p>
      <w:pPr>
        <w:ind w:left="40" w:right="79" w:firstLine="259"/>
        <w:spacing w:after="0" w:line="289" w:lineRule="auto"/>
        <w:rPr>
          <w:sz w:val="20"/>
          <w:szCs w:val="20"/>
          <w:color w:val="auto"/>
        </w:rPr>
      </w:pPr>
      <w:r>
        <w:rPr>
          <w:rFonts w:ascii="Arial" w:cs="Arial" w:eastAsia="Arial" w:hAnsi="Arial"/>
          <w:sz w:val="16"/>
          <w:szCs w:val="16"/>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is $100 million and it expires in January 2026. See Note 13 to the consolidated condensed financial statements included in this Quarterly Report for more information. Upon notice to Bank of America, we may from time to time, request an increase in the Credit Facility by an amount not exceeding $50 million. For our Credit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color w:val="auto"/>
        </w:rPr>
        <w:t>Facility, the weighted-average interest rate was 2.8% and 1.9% at April 30, 2021 and October 31, 2020. Under the Credit Facility, we had $42.3 million and $20.6 million outstanding as April 30, 2021 and October 31, 2020.</w:t>
      </w:r>
    </w:p>
    <w:p>
      <w:pPr>
        <w:spacing w:after="0" w:line="146" w:lineRule="exact"/>
        <w:rPr>
          <w:sz w:val="20"/>
          <w:szCs w:val="20"/>
          <w:color w:val="auto"/>
        </w:rPr>
      </w:pPr>
    </w:p>
    <w:p>
      <w:pPr>
        <w:ind w:left="40" w:right="239" w:firstLine="225"/>
        <w:spacing w:after="0" w:line="257" w:lineRule="auto"/>
        <w:rPr>
          <w:sz w:val="20"/>
          <w:szCs w:val="20"/>
          <w:color w:val="auto"/>
        </w:rPr>
      </w:pPr>
      <w:r>
        <w:rPr>
          <w:rFonts w:ascii="Arial" w:cs="Arial" w:eastAsia="Arial" w:hAnsi="Arial"/>
          <w:sz w:val="18"/>
          <w:szCs w:val="18"/>
          <w:color w:val="auto"/>
        </w:rPr>
        <w:t>The Credit Facility agreement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April 30, 2021 and at the date of this Quarterly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2020. For a summary of the contractual commitments at October 31, 2020, see Part II, Item 7, in our 2020 Annual Report on Form 10-K.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 to the consolidated condensed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2021.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260" w:type="dxa"/>
            <w:vAlign w:val="bottom"/>
            <w:gridSpan w:val="2"/>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Expected maturity date April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rPr>
              <w:t>2023</w:t>
            </w:r>
          </w:p>
        </w:tc>
        <w:tc>
          <w:tcPr>
            <w:tcW w:w="1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96"/>
              </w:rPr>
              <w:t>2024</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2026</w:t>
            </w:r>
          </w:p>
        </w:tc>
        <w:tc>
          <w:tcPr>
            <w:tcW w:w="1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2"/>
                <w:szCs w:val="12"/>
                <w:color w:val="auto"/>
              </w:rPr>
            </w:pP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Total</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Fair Value</w:t>
            </w:r>
          </w:p>
        </w:tc>
        <w:tc>
          <w:tcPr>
            <w:tcW w:w="20" w:type="dxa"/>
            <w:vAlign w:val="bottom"/>
          </w:tcPr>
          <w:p>
            <w:pPr>
              <w:spacing w:after="0"/>
              <w:rPr>
                <w:sz w:val="12"/>
                <w:szCs w:val="12"/>
                <w:color w:val="auto"/>
              </w:rPr>
            </w:pPr>
          </w:p>
        </w:tc>
      </w:tr>
      <w:tr>
        <w:trPr>
          <w:trHeight w:val="209"/>
        </w:trPr>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Cash and cash equivalents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90,112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90,112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90,112</w:t>
            </w:r>
          </w:p>
        </w:tc>
        <w:tc>
          <w:tcPr>
            <w:tcW w:w="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Advances to suppliers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w:t>
            </w:r>
          </w:p>
        </w:tc>
        <w:tc>
          <w:tcPr>
            <w:tcW w:w="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31,390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31,390</w:t>
            </w:r>
          </w:p>
        </w:tc>
        <w:tc>
          <w:tcPr>
            <w:tcW w:w="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Accounts payable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14,012</w:t>
            </w:r>
          </w:p>
        </w:tc>
        <w:tc>
          <w:tcPr>
            <w:tcW w:w="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Borrowings pursuant to credit facilities (1)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42,250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6" w:lineRule="exact"/>
        <w:rPr>
          <w:sz w:val="20"/>
          <w:szCs w:val="20"/>
          <w:color w:val="auto"/>
        </w:rPr>
      </w:pPr>
    </w:p>
    <w:p>
      <w:pPr>
        <w:ind w:left="360" w:right="119" w:hanging="316"/>
        <w:spacing w:after="0" w:line="23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7"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losses for the three months ended April 30, 2021 and 2020, net of gains, was $0.5 million and $3.4 million. Total foreign currency remeasurement gains for the six months ended April 30, 2021, net of losses, was $0.6 million. Total foreign currency remeasurement losses for the six months ended April 30, 2020, net of gains, was $3.3 million.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April 30, 2021 that have materially affected, or are reasonably likely to materially affect, the Company’s internal control over financial reporting.</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243"/>
        <w:spacing w:after="0" w:line="273" w:lineRule="auto"/>
        <w:rPr>
          <w:sz w:val="20"/>
          <w:szCs w:val="20"/>
          <w:color w:val="auto"/>
        </w:rPr>
      </w:pPr>
      <w:r>
        <w:rPr>
          <w:rFonts w:ascii="Arial" w:cs="Arial" w:eastAsia="Arial" w:hAnsi="Arial"/>
          <w:sz w:val="17"/>
          <w:szCs w:val="17"/>
          <w:color w:val="auto"/>
        </w:rPr>
        <w:t>The risk factors set forth below update the risk factors in our Annual Report on Form 10-K for the year ended October 31, 2020. In addition to the risk factors below, you should carefully consider the risk factors discussed in our most recent Form 10-K report, which could materially affect our business, financial position, results of operations and the trading price of our common stock. The risks and uncertainties that we face are not limited to those set forth below and/or in the 2020 Form 10-K. Additional risks and uncertainties not presently known to us or that we currently believe to be immaterial may also adversely affect our business and the trading price of our common stock.</w:t>
      </w:r>
    </w:p>
    <w:p>
      <w:pPr>
        <w:spacing w:after="0" w:line="178" w:lineRule="exact"/>
        <w:rPr>
          <w:sz w:val="20"/>
          <w:szCs w:val="20"/>
          <w:color w:val="auto"/>
        </w:rPr>
      </w:pPr>
    </w:p>
    <w:p>
      <w:pPr>
        <w:ind w:left="40" w:right="199" w:firstLine="243"/>
        <w:spacing w:after="0" w:line="263" w:lineRule="auto"/>
        <w:rPr>
          <w:sz w:val="20"/>
          <w:szCs w:val="20"/>
          <w:color w:val="auto"/>
        </w:rPr>
      </w:pPr>
      <w:r>
        <w:rPr>
          <w:rFonts w:ascii="Arial" w:cs="Arial" w:eastAsia="Arial" w:hAnsi="Arial"/>
          <w:sz w:val="18"/>
          <w:szCs w:val="18"/>
          <w:b w:val="1"/>
          <w:bCs w:val="1"/>
          <w:i w:val="1"/>
          <w:iCs w:val="1"/>
          <w:color w:val="auto"/>
        </w:rPr>
        <w:t>The recovery from the COVID-19 pandemic and the current economic climate is increasing labor costs, commodity costs and logistical costs which will likely adversely affect our business operations, financial condition, and results of operations.</w:t>
      </w:r>
    </w:p>
    <w:p>
      <w:pPr>
        <w:spacing w:after="0" w:line="184" w:lineRule="exact"/>
        <w:rPr>
          <w:sz w:val="20"/>
          <w:szCs w:val="20"/>
          <w:color w:val="auto"/>
        </w:rPr>
      </w:pPr>
    </w:p>
    <w:p>
      <w:pPr>
        <w:ind w:left="40" w:right="59" w:firstLine="243"/>
        <w:spacing w:after="0" w:line="263" w:lineRule="auto"/>
        <w:rPr>
          <w:sz w:val="20"/>
          <w:szCs w:val="20"/>
          <w:color w:val="auto"/>
        </w:rPr>
      </w:pPr>
      <w:r>
        <w:rPr>
          <w:rFonts w:ascii="Arial" w:cs="Arial" w:eastAsia="Arial" w:hAnsi="Arial"/>
          <w:sz w:val="18"/>
          <w:szCs w:val="18"/>
          <w:color w:val="auto"/>
        </w:rPr>
        <w:t>We are experiencing operational challenges that impact our production facilities and our logistics network, the impact of prices for petroleum-based products, packaging materials and commodity costs. The availability of sufficient labor is increasing costs companywide.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0" w:right="259" w:firstLine="243"/>
        <w:spacing w:after="0" w:line="329" w:lineRule="auto"/>
        <w:rPr>
          <w:sz w:val="20"/>
          <w:szCs w:val="20"/>
          <w:color w:val="auto"/>
        </w:rPr>
      </w:pPr>
      <w:r>
        <w:rPr>
          <w:rFonts w:ascii="Arial" w:cs="Arial" w:eastAsia="Arial" w:hAnsi="Arial"/>
          <w:sz w:val="16"/>
          <w:szCs w:val="16"/>
          <w:color w:val="auto"/>
        </w:rPr>
        <w:t>In December 2020, Calavo withheld 12,448 shares from certain officers for the payments of minimum withholding of taxes on the net share settlement of equity awards. In February 2021, Calavo withheld 1,664 shares from our chief executive officer for the payment of minimum withholding of taxes on the net share settlement of equity awards.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19" w:lineRule="exact"/>
        <w:rPr>
          <w:sz w:val="20"/>
          <w:szCs w:val="20"/>
          <w:color w:val="auto"/>
        </w:rPr>
      </w:pPr>
    </w:p>
    <w:p>
      <w:pPr>
        <w:ind w:left="86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7">
        <w:r>
          <w:rPr>
            <w:rFonts w:ascii="Arial" w:cs="Arial" w:eastAsia="Arial" w:hAnsi="Arial"/>
            <w:sz w:val="16"/>
            <w:szCs w:val="16"/>
            <w:u w:val="single" w:color="auto"/>
            <w:color w:val="0000EE"/>
          </w:rPr>
          <w:t xml:space="preserve">2020 Equity Incentive Plan, approved by shareholders on April 21, 2021 </w:t>
        </w:r>
      </w:hyperlink>
      <w:r>
        <w:rPr>
          <w:rFonts w:ascii="Arial" w:cs="Arial" w:eastAsia="Arial" w:hAnsi="Arial"/>
          <w:sz w:val="23"/>
          <w:szCs w:val="23"/>
          <w:u w:val="single" w:color="auto"/>
          <w:color w:val="0000EE"/>
          <w:vertAlign w:val="superscript"/>
        </w:rPr>
        <w:t>*</w:t>
      </w:r>
    </w:p>
    <w:p>
      <w:pPr>
        <w:spacing w:after="0" w:line="353" w:lineRule="exact"/>
        <w:rPr>
          <w:sz w:val="20"/>
          <w:szCs w:val="20"/>
          <w:color w:val="auto"/>
        </w:rPr>
      </w:pPr>
    </w:p>
    <w:p>
      <w:pPr>
        <w:ind w:left="1440" w:right="5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49">
        <w:r>
          <w:rPr>
            <w:rFonts w:ascii="Arial" w:cs="Arial" w:eastAsia="Arial" w:hAnsi="Arial"/>
            <w:sz w:val="18"/>
            <w:szCs w:val="18"/>
            <w:u w:val="single" w:color="auto"/>
            <w:color w:val="0000EE"/>
          </w:rPr>
          <w:t>Limited Liability Company Member Separation and Release Agreement, dated February 3, 2021, by</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 xml:space="preserve">and between FreshRealm LLC and Calavo Growers, Inc. </w:t>
        </w:r>
        <w:r>
          <w:rPr>
            <w:rFonts w:ascii="Arial" w:cs="Arial" w:eastAsia="Arial" w:hAnsi="Arial"/>
            <w:sz w:val="26"/>
            <w:szCs w:val="26"/>
            <w:u w:val="single" w:color="auto"/>
            <w:color w:val="0000EE"/>
            <w:vertAlign w:val="superscript"/>
          </w:rPr>
          <w:t>(1)</w:t>
        </w:r>
      </w:hyperlink>
    </w:p>
    <w:p>
      <w:pPr>
        <w:spacing w:after="0" w:line="36" w:lineRule="exact"/>
        <w:rPr>
          <w:sz w:val="20"/>
          <w:szCs w:val="20"/>
          <w:color w:val="auto"/>
        </w:rPr>
      </w:pPr>
    </w:p>
    <w:p>
      <w:pPr>
        <w:ind w:left="1440" w:right="5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0">
        <w:r>
          <w:rPr>
            <w:rFonts w:ascii="Arial" w:cs="Arial" w:eastAsia="Arial" w:hAnsi="Arial"/>
            <w:sz w:val="18"/>
            <w:szCs w:val="18"/>
            <w:u w:val="single" w:color="auto"/>
            <w:color w:val="0000EE"/>
          </w:rPr>
          <w:t>Amended and Restated Senior Secured Loan Agreement and Promissory Note, dated February 3, 2021,</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 xml:space="preserve">by and between FreshRealm LLC and Calavo Growers, Inc. </w:t>
        </w:r>
        <w:r>
          <w:rPr>
            <w:rFonts w:ascii="Arial" w:cs="Arial" w:eastAsia="Arial" w:hAnsi="Arial"/>
            <w:sz w:val="26"/>
            <w:szCs w:val="26"/>
            <w:u w:val="single" w:color="auto"/>
            <w:color w:val="0000EE"/>
            <w:vertAlign w:val="superscript"/>
          </w:rPr>
          <w:t>(1)</w:t>
        </w:r>
      </w:hyperlink>
    </w:p>
    <w:p>
      <w:pPr>
        <w:spacing w:after="0" w:line="36" w:lineRule="exact"/>
        <w:rPr>
          <w:sz w:val="20"/>
          <w:szCs w:val="20"/>
          <w:color w:val="auto"/>
        </w:rPr>
      </w:pPr>
    </w:p>
    <w:p>
      <w:pPr>
        <w:ind w:left="1440" w:right="5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1">
        <w:r>
          <w:rPr>
            <w:rFonts w:ascii="Arial" w:cs="Arial" w:eastAsia="Arial" w:hAnsi="Arial"/>
            <w:sz w:val="18"/>
            <w:szCs w:val="18"/>
            <w:u w:val="single" w:color="auto"/>
            <w:color w:val="0000EE"/>
          </w:rPr>
          <w:t>Secured Promissory Note, dated February 3, 2021, by and between FreshRealm LLC and Calavo</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 xml:space="preserve">Growers, Inc. </w:t>
        </w:r>
        <w:r>
          <w:rPr>
            <w:rFonts w:ascii="Arial" w:cs="Arial" w:eastAsia="Arial" w:hAnsi="Arial"/>
            <w:sz w:val="26"/>
            <w:szCs w:val="26"/>
            <w:u w:val="single" w:color="auto"/>
            <w:color w:val="0000EE"/>
            <w:vertAlign w:val="superscript"/>
          </w:rPr>
          <w:t>(1)</w:t>
        </w:r>
      </w:hyperlink>
    </w:p>
    <w:p>
      <w:pPr>
        <w:spacing w:after="0" w:line="36" w:lineRule="exact"/>
        <w:rPr>
          <w:sz w:val="20"/>
          <w:szCs w:val="20"/>
          <w:color w:val="auto"/>
        </w:rPr>
      </w:pPr>
    </w:p>
    <w:p>
      <w:pPr>
        <w:ind w:left="1440" w:right="7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2">
        <w:r>
          <w:rPr>
            <w:rFonts w:ascii="Arial" w:cs="Arial" w:eastAsia="Arial" w:hAnsi="Arial"/>
            <w:sz w:val="18"/>
            <w:szCs w:val="18"/>
            <w:u w:val="single" w:color="auto"/>
            <w:color w:val="0000EE"/>
          </w:rPr>
          <w:t>Warrant Agreement, dated February 3, 2021, by and between FreshRealm LLC and Calavo Growers,</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 xml:space="preserve">Inc. </w:t>
        </w:r>
        <w:r>
          <w:rPr>
            <w:rFonts w:ascii="Arial" w:cs="Arial" w:eastAsia="Arial" w:hAnsi="Arial"/>
            <w:sz w:val="26"/>
            <w:szCs w:val="26"/>
            <w:u w:val="single" w:color="auto"/>
            <w:color w:val="0000EE"/>
            <w:vertAlign w:val="superscript"/>
          </w:rPr>
          <w:t>(1)</w:t>
        </w:r>
      </w:hyperlink>
    </w:p>
    <w:p>
      <w:pPr>
        <w:spacing w:after="0" w:line="36" w:lineRule="exact"/>
        <w:rPr>
          <w:sz w:val="20"/>
          <w:szCs w:val="20"/>
          <w:color w:val="auto"/>
        </w:rPr>
      </w:pPr>
    </w:p>
    <w:p>
      <w:pPr>
        <w:ind w:left="1440" w:right="7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3">
        <w:r>
          <w:rPr>
            <w:rFonts w:ascii="Arial" w:cs="Arial" w:eastAsia="Arial" w:hAnsi="Arial"/>
            <w:sz w:val="18"/>
            <w:szCs w:val="18"/>
            <w:u w:val="single" w:color="auto"/>
            <w:color w:val="0000EE"/>
          </w:rPr>
          <w:t>Third Amended and Restated Security Agreement, dated February 3, 2021, by and between FreshRealm</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 xml:space="preserve">LLC and Calavo Growers, Inc. </w:t>
        </w:r>
        <w:r>
          <w:rPr>
            <w:rFonts w:ascii="Arial" w:cs="Arial" w:eastAsia="Arial" w:hAnsi="Arial"/>
            <w:sz w:val="26"/>
            <w:szCs w:val="26"/>
            <w:u w:val="single" w:color="auto"/>
            <w:color w:val="0000EE"/>
            <w:vertAlign w:val="superscript"/>
          </w:rPr>
          <w:t>(1)</w:t>
        </w:r>
      </w:hyperlink>
    </w:p>
    <w:p>
      <w:pPr>
        <w:spacing w:after="0" w:line="36" w:lineRule="exact"/>
        <w:rPr>
          <w:sz w:val="20"/>
          <w:szCs w:val="20"/>
          <w:color w:val="auto"/>
        </w:rPr>
      </w:pPr>
    </w:p>
    <w:p>
      <w:pPr>
        <w:ind w:left="1440" w:right="59" w:hanging="579"/>
        <w:spacing w:after="0" w:line="27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54">
        <w:r>
          <w:rPr>
            <w:rFonts w:ascii="Arial" w:cs="Arial" w:eastAsia="Arial" w:hAnsi="Arial"/>
            <w:sz w:val="18"/>
            <w:szCs w:val="18"/>
            <w:u w:val="single" w:color="auto"/>
            <w:color w:val="0000EE"/>
          </w:rPr>
          <w:t>Third Amendment to Credit Agreement, dated January 29, 2021, by and between Calavo Growers, Inc.,</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 xml:space="preserve">Farm Credit West, PCA and Bank of America, N.A. </w:t>
        </w:r>
        <w:r>
          <w:rPr>
            <w:rFonts w:ascii="Arial" w:cs="Arial" w:eastAsia="Arial" w:hAnsi="Arial"/>
            <w:sz w:val="26"/>
            <w:szCs w:val="26"/>
            <w:u w:val="single" w:color="auto"/>
            <w:color w:val="0000EE"/>
            <w:vertAlign w:val="superscript"/>
          </w:rPr>
          <w:t>(2)</w:t>
        </w:r>
      </w:hyperlink>
    </w:p>
    <w:p>
      <w:pPr>
        <w:spacing w:after="0" w:line="36" w:lineRule="exact"/>
        <w:rPr>
          <w:sz w:val="20"/>
          <w:szCs w:val="20"/>
          <w:color w:val="auto"/>
        </w:rPr>
      </w:pPr>
    </w:p>
    <w:p>
      <w:pPr>
        <w:ind w:left="86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7">
        <w:r>
          <w:rPr>
            <w:rFonts w:ascii="Arial" w:cs="Arial" w:eastAsia="Arial" w:hAnsi="Arial"/>
            <w:sz w:val="16"/>
            <w:szCs w:val="16"/>
            <w:u w:val="single" w:color="auto"/>
            <w:color w:val="0000EE"/>
          </w:rPr>
          <w:t>Certification of Chief Executive Officer Pursuant to 15 U.S.C. § 7241, as Adopted Pursuant to Section</w:t>
        </w:r>
      </w:hyperlink>
    </w:p>
    <w:p>
      <w:pPr>
        <w:spacing w:after="0" w:line="12" w:lineRule="exact"/>
        <w:rPr>
          <w:sz w:val="20"/>
          <w:szCs w:val="20"/>
          <w:color w:val="auto"/>
        </w:rPr>
      </w:pPr>
    </w:p>
    <w:p>
      <w:pPr>
        <w:ind w:left="1440"/>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182" w:lineRule="exact"/>
        <w:rPr>
          <w:sz w:val="20"/>
          <w:szCs w:val="20"/>
          <w:color w:val="auto"/>
        </w:rPr>
      </w:pPr>
    </w:p>
    <w:p>
      <w:pPr>
        <w:ind w:left="1440" w:right="59" w:hanging="579"/>
        <w:spacing w:after="0" w:line="261" w:lineRule="auto"/>
        <w:tabs>
          <w:tab w:leader="none" w:pos="1420" w:val="left"/>
        </w:tabs>
        <w:rPr>
          <w:rFonts w:ascii="Arial" w:cs="Arial" w:eastAsia="Arial" w:hAnsi="Arial"/>
          <w:sz w:val="18"/>
          <w:szCs w:val="18"/>
          <w:color w:val="0000EE"/>
        </w:rPr>
      </w:pPr>
      <w:r>
        <w:rPr>
          <w:rFonts w:ascii="Arial" w:cs="Arial" w:eastAsia="Arial" w:hAnsi="Arial"/>
          <w:sz w:val="18"/>
          <w:szCs w:val="18"/>
          <w:color w:val="auto"/>
        </w:rPr>
        <w:t>31.2</w:t>
      </w:r>
      <w:r>
        <w:rPr>
          <w:sz w:val="20"/>
          <w:szCs w:val="20"/>
          <w:color w:val="auto"/>
        </w:rPr>
        <w:tab/>
      </w:r>
      <w:hyperlink w:anchor="page58">
        <w:r>
          <w:rPr>
            <w:rFonts w:ascii="Arial" w:cs="Arial" w:eastAsia="Arial" w:hAnsi="Arial"/>
            <w:sz w:val="18"/>
            <w:szCs w:val="18"/>
            <w:u w:val="single" w:color="auto"/>
            <w:color w:val="0000EE"/>
          </w:rPr>
          <w:t>Certification of Principal Financial Officer Pursuant to 15 U.S.C. § 7241, as Adopted Pursuant to</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Section 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157" w:lineRule="exact"/>
        <w:rPr>
          <w:sz w:val="20"/>
          <w:szCs w:val="20"/>
          <w:color w:val="auto"/>
        </w:rPr>
      </w:pPr>
    </w:p>
    <w:p>
      <w:pPr>
        <w:ind w:left="1440" w:right="199" w:hanging="579"/>
        <w:spacing w:after="0" w:line="261" w:lineRule="auto"/>
        <w:tabs>
          <w:tab w:leader="none" w:pos="1420" w:val="left"/>
        </w:tabs>
        <w:rPr>
          <w:rFonts w:ascii="Arial" w:cs="Arial" w:eastAsia="Arial" w:hAnsi="Arial"/>
          <w:sz w:val="18"/>
          <w:szCs w:val="18"/>
          <w:color w:val="0000EE"/>
        </w:rPr>
      </w:pPr>
      <w:r>
        <w:rPr>
          <w:rFonts w:ascii="Arial" w:cs="Arial" w:eastAsia="Arial" w:hAnsi="Arial"/>
          <w:sz w:val="18"/>
          <w:szCs w:val="18"/>
          <w:color w:val="auto"/>
        </w:rPr>
        <w:t>32.1</w:t>
      </w:r>
      <w:r>
        <w:rPr>
          <w:sz w:val="20"/>
          <w:szCs w:val="20"/>
          <w:color w:val="auto"/>
        </w:rPr>
        <w:tab/>
      </w:r>
      <w:hyperlink w:anchor="page59">
        <w:r>
          <w:rPr>
            <w:rFonts w:ascii="Arial" w:cs="Arial" w:eastAsia="Arial" w:hAnsi="Arial"/>
            <w:sz w:val="18"/>
            <w:szCs w:val="18"/>
            <w:u w:val="single" w:color="auto"/>
            <w:color w:val="0000EE"/>
          </w:rPr>
          <w:t>Certification by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U.S.C. Section 1350.</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157" w:lineRule="exact"/>
        <w:rPr>
          <w:sz w:val="20"/>
          <w:szCs w:val="20"/>
          <w:color w:val="auto"/>
        </w:rPr>
      </w:pPr>
    </w:p>
    <w:p>
      <w:pPr>
        <w:ind w:left="1440" w:right="79" w:hanging="581"/>
        <w:spacing w:after="0" w:line="274" w:lineRule="auto"/>
        <w:tabs>
          <w:tab w:leader="none" w:pos="1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2021, formatted in Inline XBRL (Extensible Business Reporting Language): (1) Consolidated Condensed Balance Sheets as of April 30, 2021 and October 31, 2020; (2) Consolidated Condensed Statements of Operations for the three and six months ended April 30, 2021 and 2020; (3) Consolidated Condensed Statements of Cash Flows for the three and six months ended April 30, 2021 and 2020; (4) Consolidated Statements of Shareholders’ Equity for the three and six months ended April 30, 2021 and 2020; and (5) Notes to Consolidated Condensed Financial Statements.</w:t>
      </w:r>
    </w:p>
    <w:p>
      <w:pPr>
        <w:spacing w:after="0" w:line="150" w:lineRule="exact"/>
        <w:rPr>
          <w:sz w:val="20"/>
          <w:szCs w:val="20"/>
          <w:color w:val="auto"/>
        </w:rPr>
      </w:pPr>
    </w:p>
    <w:p>
      <w:pPr>
        <w:ind w:left="1440" w:hanging="581"/>
        <w:spacing w:after="0"/>
        <w:tabs>
          <w:tab w:leader="none" w:pos="1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00" w:right="99" w:hanging="6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on February 9, 2021 as an exhibit to the Registrant’s Report on Form 8-K and incorporated herein by reference.</w:t>
      </w:r>
    </w:p>
    <w:p>
      <w:pPr>
        <w:spacing w:after="0" w:line="170" w:lineRule="exact"/>
        <w:rPr>
          <w:rFonts w:ascii="Arial" w:cs="Arial" w:eastAsia="Arial" w:hAnsi="Arial"/>
          <w:sz w:val="18"/>
          <w:szCs w:val="18"/>
          <w:color w:val="auto"/>
        </w:rPr>
      </w:pPr>
    </w:p>
    <w:p>
      <w:pPr>
        <w:ind w:left="700" w:right="99" w:hanging="6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on February 2, 2021 as an exhibit to the Registrant’s Report on Form 8-K and incorporated herein by reference</w:t>
      </w:r>
    </w:p>
    <w:p>
      <w:pPr>
        <w:spacing w:after="0" w:line="174" w:lineRule="exact"/>
        <w:rPr>
          <w:sz w:val="20"/>
          <w:szCs w:val="20"/>
          <w:color w:val="auto"/>
        </w:rPr>
      </w:pPr>
    </w:p>
    <w:p>
      <w:pPr>
        <w:ind w:left="700" w:hanging="6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6"/>
          <w:szCs w:val="16"/>
          <w:color w:val="auto"/>
        </w:rPr>
        <w:t>Filed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(Registrant)</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June 8, 2021</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Gibson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James Gibson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June 8, 2021</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Manion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Kevin Manion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of Directors on December 9, 2020</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20" w:hanging="264"/>
        <w:spacing w:after="0"/>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Award Recipients</w:t>
      </w:r>
      <w:r>
        <w:rPr>
          <w:rFonts w:ascii="Arial" w:cs="Arial" w:eastAsia="Arial" w:hAnsi="Arial"/>
          <w:sz w:val="18"/>
          <w:szCs w:val="18"/>
          <w:color w:val="auto"/>
        </w:rPr>
        <w:t>. The persons eligible to receive Awards are Employees, Directors and Consultants.</w:t>
      </w:r>
    </w:p>
    <w:p>
      <w:pPr>
        <w:spacing w:after="0" w:line="225" w:lineRule="exact"/>
        <w:rPr>
          <w:rFonts w:ascii="Arial" w:cs="Arial" w:eastAsia="Arial" w:hAnsi="Arial"/>
          <w:sz w:val="18"/>
          <w:szCs w:val="18"/>
          <w:b w:val="1"/>
          <w:bCs w:val="1"/>
          <w:color w:val="auto"/>
        </w:rPr>
      </w:pPr>
    </w:p>
    <w:p>
      <w:pPr>
        <w:ind w:firstLine="656"/>
        <w:spacing w:after="0" w:line="266" w:lineRule="auto"/>
        <w:tabs>
          <w:tab w:leader="none" w:pos="913"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Awards</w:t>
      </w:r>
      <w:r>
        <w:rPr>
          <w:rFonts w:ascii="Arial" w:cs="Arial" w:eastAsia="Arial" w:hAnsi="Arial"/>
          <w:sz w:val="18"/>
          <w:szCs w:val="18"/>
          <w:color w:val="auto"/>
        </w:rPr>
        <w:t>. The Plan provides for the grant of the following Awards: (i) Incentive Stock Options; (ii)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(iii) Stock Appreciation Rights (SARs); (iv) Restricted Stock Awards; (v) Restricted Stock Unit Awards; (vi) Performance Stock Awards; (vii) Performance Cash Awards; and (viii) Other Stock Awards.</w:t>
      </w:r>
    </w:p>
    <w:p>
      <w:pPr>
        <w:spacing w:after="0" w:line="175" w:lineRule="exact"/>
        <w:rPr>
          <w:rFonts w:ascii="Arial" w:cs="Arial" w:eastAsia="Arial" w:hAnsi="Arial"/>
          <w:sz w:val="18"/>
          <w:szCs w:val="18"/>
          <w:b w:val="1"/>
          <w:bCs w:val="1"/>
          <w:color w:val="auto"/>
        </w:rPr>
      </w:pPr>
    </w:p>
    <w:p>
      <w:pPr>
        <w:ind w:right="380" w:firstLine="656"/>
        <w:spacing w:after="0" w:line="261" w:lineRule="auto"/>
        <w:tabs>
          <w:tab w:leader="none" w:pos="893"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by means of the Plan, seeks to secure and retain the services of the group of persons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Awards as set forth in Section 1(a), to provide incentives for such persons to exert maximum efforts for the success of the Company and any Affiliate and to provide a means by which such eligible recipients may be given an opportunity to benefit from increases in the value of the Common Stock through the granting of Awards.</w:t>
      </w:r>
    </w:p>
    <w:p>
      <w:pPr>
        <w:spacing w:after="0" w:line="179" w:lineRule="exact"/>
        <w:rPr>
          <w:rFonts w:ascii="Arial" w:cs="Arial" w:eastAsia="Arial" w:hAnsi="Arial"/>
          <w:sz w:val="18"/>
          <w:szCs w:val="18"/>
          <w:b w:val="1"/>
          <w:bCs w:val="1"/>
          <w:color w:val="auto"/>
        </w:rPr>
      </w:pPr>
    </w:p>
    <w:p>
      <w:pPr>
        <w:ind w:right="260" w:firstLine="656"/>
        <w:spacing w:after="0" w:line="261" w:lineRule="auto"/>
        <w:tabs>
          <w:tab w:leader="none" w:pos="913"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to the 2011 Management Incentive Plan</w:t>
      </w:r>
      <w:r>
        <w:rPr>
          <w:rFonts w:ascii="Arial" w:cs="Arial" w:eastAsia="Arial" w:hAnsi="Arial"/>
          <w:sz w:val="18"/>
          <w:szCs w:val="18"/>
          <w:color w:val="auto"/>
        </w:rPr>
        <w:t>. The Plan is the successor to the Company’s 2011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provided in Section 1.3 of the 2011 Management Incentive Plan, no awards shall be made under the 2011 Management Incentive Plan after December 9, 2020. All awards made under the 2011 Management Incentive Plan prior to December 10, 2020 shall remain subject to the terms of that plan.</w:t>
      </w:r>
    </w:p>
    <w:p>
      <w:pPr>
        <w:spacing w:after="0" w:line="179" w:lineRule="exact"/>
        <w:rPr>
          <w:rFonts w:ascii="Arial" w:cs="Arial" w:eastAsia="Arial" w:hAnsi="Arial"/>
          <w:sz w:val="18"/>
          <w:szCs w:val="18"/>
          <w:b w:val="1"/>
          <w:bCs w:val="1"/>
          <w:color w:val="auto"/>
        </w:rPr>
      </w:pPr>
    </w:p>
    <w:p>
      <w:pPr>
        <w:ind w:left="900" w:hanging="244"/>
        <w:spacing w:after="0"/>
        <w:tabs>
          <w:tab w:leader="none" w:pos="90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Section 13 sets forth the definitions of certain capitalized terms used in the Plan.</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60" w:firstLine="656"/>
        <w:spacing w:after="0" w:line="261" w:lineRule="auto"/>
        <w:tabs>
          <w:tab w:leader="none" w:pos="903"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 The Plan shall be administered by the Administrator. To the extent that applicable laws permit,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delegate administration of the Plan to a Committee or Committees, as provided in Section 2(c). Notwithstanding the foregoing, the Board (rather than a Committee) shall be responsible for granting Awards to Non-Employee Directors and for administering the provisions of the Plan that are applicable to such Awards.</w:t>
      </w:r>
    </w:p>
    <w:p>
      <w:pPr>
        <w:spacing w:after="0" w:line="179" w:lineRule="exact"/>
        <w:rPr>
          <w:rFonts w:ascii="Arial" w:cs="Arial" w:eastAsia="Arial" w:hAnsi="Arial"/>
          <w:sz w:val="18"/>
          <w:szCs w:val="18"/>
          <w:b w:val="1"/>
          <w:bCs w:val="1"/>
          <w:color w:val="auto"/>
        </w:rPr>
      </w:pPr>
    </w:p>
    <w:p>
      <w:pPr>
        <w:ind w:right="140" w:firstLine="656"/>
        <w:spacing w:after="0" w:line="282" w:lineRule="auto"/>
        <w:tabs>
          <w:tab w:leader="none" w:pos="913"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Administrator</w:t>
      </w:r>
      <w:r>
        <w:rPr>
          <w:rFonts w:ascii="Arial" w:cs="Arial" w:eastAsia="Arial" w:hAnsi="Arial"/>
          <w:sz w:val="18"/>
          <w:szCs w:val="18"/>
          <w:color w:val="auto"/>
        </w:rPr>
        <w:t>. The Administrator shall have the power and authority, subject to, and within the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provisions of the Plan:</w:t>
      </w:r>
    </w:p>
    <w:p>
      <w:pPr>
        <w:spacing w:after="0" w:line="165" w:lineRule="exact"/>
        <w:rPr>
          <w:rFonts w:ascii="Arial" w:cs="Arial" w:eastAsia="Arial" w:hAnsi="Arial"/>
          <w:sz w:val="18"/>
          <w:szCs w:val="18"/>
          <w:b w:val="1"/>
          <w:bCs w:val="1"/>
          <w:color w:val="auto"/>
        </w:rPr>
      </w:pPr>
    </w:p>
    <w:p>
      <w:pPr>
        <w:ind w:right="40" w:firstLine="1304"/>
        <w:spacing w:after="0" w:line="275" w:lineRule="auto"/>
        <w:tabs>
          <w:tab w:leader="none" w:pos="1511" w:val="left"/>
        </w:tabs>
        <w:numPr>
          <w:ilvl w:val="2"/>
          <w:numId w:val="20"/>
        </w:numPr>
        <w:rPr>
          <w:rFonts w:ascii="Arial" w:cs="Arial" w:eastAsia="Arial" w:hAnsi="Arial"/>
          <w:sz w:val="17"/>
          <w:szCs w:val="17"/>
          <w:color w:val="auto"/>
        </w:rPr>
      </w:pPr>
      <w:r>
        <w:rPr>
          <w:rFonts w:ascii="Arial" w:cs="Arial" w:eastAsia="Arial" w:hAnsi="Arial"/>
          <w:sz w:val="17"/>
          <w:szCs w:val="17"/>
          <w:color w:val="auto"/>
        </w:rPr>
        <w:t>To determine from time to time: (A) which of the persons eligible under the Plan shall be granted Awards; (B) when and how each Award shall be granted; (C) what type or combination of types of Awards shall be granted; (D) the provisions of each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76" w:lineRule="exact"/>
        <w:rPr>
          <w:rFonts w:ascii="Arial" w:cs="Arial" w:eastAsia="Arial" w:hAnsi="Arial"/>
          <w:sz w:val="17"/>
          <w:szCs w:val="17"/>
          <w:color w:val="auto"/>
        </w:rPr>
      </w:pPr>
    </w:p>
    <w:p>
      <w:pPr>
        <w:ind w:right="80" w:firstLine="1304"/>
        <w:spacing w:after="0" w:line="259" w:lineRule="auto"/>
        <w:tabs>
          <w:tab w:leader="none" w:pos="1561"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and the Administrator,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Awards granted under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ind w:left="-460" w:right="80" w:firstLine="1304"/>
        <w:spacing w:after="0" w:line="254" w:lineRule="auto"/>
        <w:tabs>
          <w:tab w:leader="none" w:pos="11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accelerate the time at which an outstanding Award may first be exercised or the time at which an outstanding Award or any part thereof will vest in accordance with the Plan, notwithstanding the provisions in the Award Agreement stating the time at which it may first be exercised or the time at which it shall vest, but such acceleration shall be permitted only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94" w:lineRule="exact"/>
        <w:rPr>
          <w:rFonts w:ascii="Arial" w:cs="Arial" w:eastAsia="Arial" w:hAnsi="Arial"/>
          <w:sz w:val="18"/>
          <w:szCs w:val="18"/>
          <w:color w:val="auto"/>
        </w:rPr>
      </w:pPr>
    </w:p>
    <w:p>
      <w:pPr>
        <w:ind w:left="-460" w:right="240" w:firstLine="1304"/>
        <w:spacing w:after="0" w:line="263" w:lineRule="auto"/>
        <w:tabs>
          <w:tab w:leader="none" w:pos="10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amend, suspend or terminate the Plan at any time; provided that amendment, suspension or termination of the Plan shall not impair rights and obligations under any Award granted while the Plan is in effect except with the written consent of the affected Participant;</w:t>
      </w:r>
    </w:p>
    <w:p>
      <w:pPr>
        <w:spacing w:after="0" w:line="183" w:lineRule="exact"/>
        <w:rPr>
          <w:rFonts w:ascii="Arial" w:cs="Arial" w:eastAsia="Arial" w:hAnsi="Arial"/>
          <w:sz w:val="18"/>
          <w:szCs w:val="18"/>
          <w:color w:val="auto"/>
        </w:rPr>
      </w:pPr>
    </w:p>
    <w:p>
      <w:pPr>
        <w:ind w:left="-460" w:right="60" w:firstLine="1304"/>
        <w:spacing w:after="0" w:line="263" w:lineRule="auto"/>
        <w:tabs>
          <w:tab w:leader="none" w:pos="11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submit any amendment to the Plan for shareholder approval, including, but not limited to, amendments to the Plan intended to satisfy the requirements of (A) Section 422 of the Code regarding “incentive stock options” or (B) Rule 16b-3 under the Exchange Act;</w:t>
      </w:r>
    </w:p>
    <w:p>
      <w:pPr>
        <w:spacing w:after="0" w:line="183" w:lineRule="exact"/>
        <w:rPr>
          <w:rFonts w:ascii="Arial" w:cs="Arial" w:eastAsia="Arial" w:hAnsi="Arial"/>
          <w:sz w:val="18"/>
          <w:szCs w:val="18"/>
          <w:color w:val="auto"/>
        </w:rPr>
      </w:pPr>
    </w:p>
    <w:p>
      <w:pPr>
        <w:ind w:left="-460" w:firstLine="1304"/>
        <w:spacing w:after="0" w:line="254" w:lineRule="auto"/>
        <w:tabs>
          <w:tab w:leader="none" w:pos="11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the Administrator’s discretion; provided, however, that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Administrator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191" w:lineRule="exact"/>
        <w:rPr>
          <w:rFonts w:ascii="Arial" w:cs="Arial" w:eastAsia="Arial" w:hAnsi="Arial"/>
          <w:sz w:val="18"/>
          <w:szCs w:val="18"/>
          <w:color w:val="auto"/>
        </w:rPr>
      </w:pPr>
    </w:p>
    <w:p>
      <w:pPr>
        <w:ind w:left="-460" w:right="100" w:firstLine="1304"/>
        <w:spacing w:after="0" w:line="308" w:lineRule="auto"/>
        <w:tabs>
          <w:tab w:leader="none" w:pos="124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exercise such powers and to perform such acts as the Administrator deems necessary or expedient to promote the best interests of the Company and that are not in conflict with the provisions of the Plan or Awards; and</w:t>
      </w:r>
    </w:p>
    <w:p>
      <w:pPr>
        <w:spacing w:after="0" w:line="146" w:lineRule="exact"/>
        <w:rPr>
          <w:rFonts w:ascii="Arial" w:cs="Arial" w:eastAsia="Arial" w:hAnsi="Arial"/>
          <w:sz w:val="17"/>
          <w:szCs w:val="17"/>
          <w:color w:val="auto"/>
        </w:rPr>
      </w:pPr>
    </w:p>
    <w:p>
      <w:pPr>
        <w:ind w:left="-460" w:right="480" w:firstLine="1304"/>
        <w:spacing w:after="0" w:line="277" w:lineRule="auto"/>
        <w:tabs>
          <w:tab w:leader="none" w:pos="11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66" w:lineRule="exact"/>
        <w:rPr>
          <w:rFonts w:ascii="Arial" w:cs="Arial" w:eastAsia="Arial" w:hAnsi="Arial"/>
          <w:sz w:val="18"/>
          <w:szCs w:val="18"/>
          <w:color w:val="auto"/>
        </w:rPr>
      </w:pPr>
    </w:p>
    <w:p>
      <w:pPr>
        <w:ind w:left="440" w:hanging="244"/>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a Committee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60" w:right="20" w:firstLine="1304"/>
        <w:spacing w:after="0" w:line="256" w:lineRule="auto"/>
        <w:tabs>
          <w:tab w:leader="none" w:pos="1051"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The Board may retain the authority to concurrently administer the Plan with the Committee and may, at any time, revest in the Board some or all of the powers previously delegated to a Committee or Committees. References in the Plan to the “Administrator” shall refer, as applicable, to the Board and/or the Committee or Committees.</w:t>
      </w:r>
    </w:p>
    <w:p>
      <w:pPr>
        <w:spacing w:after="0" w:line="187" w:lineRule="exact"/>
        <w:rPr>
          <w:rFonts w:ascii="Arial" w:cs="Arial" w:eastAsia="Arial" w:hAnsi="Arial"/>
          <w:sz w:val="18"/>
          <w:szCs w:val="18"/>
          <w:b w:val="1"/>
          <w:bCs w:val="1"/>
          <w:color w:val="auto"/>
        </w:rPr>
      </w:pPr>
    </w:p>
    <w:p>
      <w:pPr>
        <w:ind w:left="-460" w:right="60" w:firstLine="1304"/>
        <w:spacing w:after="0" w:line="261" w:lineRule="auto"/>
        <w:tabs>
          <w:tab w:leader="none" w:pos="1101"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Members of the Committee</w:t>
      </w:r>
      <w:r>
        <w:rPr>
          <w:rFonts w:ascii="Arial" w:cs="Arial" w:eastAsia="Arial" w:hAnsi="Arial"/>
          <w:sz w:val="18"/>
          <w:szCs w:val="18"/>
          <w:color w:val="auto"/>
        </w:rPr>
        <w:t>. Unless otherwise determined by the Board, the Committee shall be comprised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two Directors, each of whom shall be an Outside Director. The failure of the Committee to be comprised solely of Outside Directors shall not affect the validity of any action of the Committee (including the grant of any Award) that otherwise complies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880110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8" w:name="page39"/>
    <w:bookmarkEnd w:id="38"/>
    <w:p>
      <w:pPr>
        <w:ind w:left="-8" w:right="40" w:firstLine="656"/>
        <w:spacing w:after="0" w:line="273" w:lineRule="auto"/>
        <w:tabs>
          <w:tab w:leader="none" w:pos="905"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the Chief Executive Officer</w:t>
      </w:r>
      <w:r>
        <w:rPr>
          <w:rFonts w:ascii="Arial" w:cs="Arial" w:eastAsia="Arial" w:hAnsi="Arial"/>
          <w:sz w:val="17"/>
          <w:szCs w:val="17"/>
          <w:color w:val="auto"/>
        </w:rPr>
        <w:t>. If and to the extent that may be permitted by the California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Law, the Board may delegate to the Company’s Chief Executive Officer the authority to do one or both of the following: (i) designate Employees who are not Officers to be recipients of Options and Stock Appreciation Rights (and, to the extent permitted by applicable law, other Stock Awards) and the terms thereof, and (ii) determine the number of shares of Common Stock to be subject to such Stock Awards granted to such Employees; provided, however, that the Board resolutions regarding such delegation shall specify the total number of shares of Common Stock that may be subject to the Stock Awards granted by the Chief Executive Officer and that the Chief Executive Officer may not grant a Stock Award to himself or herself.</w:t>
      </w:r>
    </w:p>
    <w:p>
      <w:pPr>
        <w:spacing w:after="0" w:line="171" w:lineRule="exact"/>
        <w:rPr>
          <w:rFonts w:ascii="Arial" w:cs="Arial" w:eastAsia="Arial" w:hAnsi="Arial"/>
          <w:sz w:val="17"/>
          <w:szCs w:val="17"/>
          <w:b w:val="1"/>
          <w:bCs w:val="1"/>
          <w:color w:val="auto"/>
        </w:rPr>
      </w:pPr>
    </w:p>
    <w:p>
      <w:pPr>
        <w:ind w:left="-8" w:right="740" w:firstLine="656"/>
        <w:spacing w:after="0" w:line="282" w:lineRule="auto"/>
        <w:tabs>
          <w:tab w:leader="none" w:pos="88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Administrator’s Determinations</w:t>
      </w:r>
      <w:r>
        <w:rPr>
          <w:rFonts w:ascii="Arial" w:cs="Arial" w:eastAsia="Arial" w:hAnsi="Arial"/>
          <w:sz w:val="18"/>
          <w:szCs w:val="18"/>
          <w:color w:val="auto"/>
        </w:rPr>
        <w:t>. All determinations, interpretations and constructions made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shall be final, binding and conclusive on all persons.</w:t>
      </w:r>
    </w:p>
    <w:p>
      <w:pPr>
        <w:spacing w:after="0" w:line="161" w:lineRule="exact"/>
        <w:rPr>
          <w:rFonts w:ascii="Arial" w:cs="Arial" w:eastAsia="Arial" w:hAnsi="Arial"/>
          <w:sz w:val="18"/>
          <w:szCs w:val="18"/>
          <w:b w:val="1"/>
          <w:bCs w:val="1"/>
          <w:color w:val="auto"/>
        </w:rPr>
      </w:pPr>
    </w:p>
    <w:p>
      <w:pPr>
        <w:ind w:left="-8" w:right="20" w:firstLine="656"/>
        <w:spacing w:after="0" w:line="269" w:lineRule="auto"/>
        <w:tabs>
          <w:tab w:leader="none" w:pos="865"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To the maximum extent permitted by applicable law and the Company’s Bylaws, each Director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each Committee member) shall be indemnified and held harmless by the Company from and against (i) any expense (including attorneys’ fees) that may be actually and reasonably incurred by such person in connection with or resulting from any action, suit or proceeding to which such person may be a party or in which such person may be involved by reason of any action taken or omitted to be taken under the Plan or any Award Agreement and (ii) any and all amounts paid by such person, with the Company’s approval, in settlement of such action, suit or proceeding, or paid by such person in satisfaction of any judgment or fine in any such action, suit or proceeding against such person. The Company shall have the right, at its own expense, to assume and defend any such action, suit or proceeding, and, once the Company gives notice of its intent to assume the defense, the Company shall have sole control over such defense with counsel of the Company’s choice. The preceding right to indemnification shall be in addition to any other indemnification rights to which a Director is entitled under the Company’s Bylaws, under applicable law or under an agreement entered into with the Company.</w:t>
      </w:r>
    </w:p>
    <w:p>
      <w:pPr>
        <w:spacing w:after="0" w:line="181" w:lineRule="exact"/>
        <w:rPr>
          <w:rFonts w:ascii="Arial" w:cs="Arial" w:eastAsia="Arial" w:hAnsi="Arial"/>
          <w:sz w:val="17"/>
          <w:szCs w:val="17"/>
          <w:b w:val="1"/>
          <w:bCs w:val="1"/>
          <w:color w:val="auto"/>
        </w:rPr>
      </w:pPr>
    </w:p>
    <w:p>
      <w:pPr>
        <w:ind w:left="172" w:hanging="172"/>
        <w:spacing w:after="0"/>
        <w:tabs>
          <w:tab w:leader="none" w:pos="1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60" w:firstLine="656"/>
        <w:spacing w:after="0" w:line="289" w:lineRule="auto"/>
        <w:tabs>
          <w:tab w:leader="none" w:pos="895"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Share Reserve</w:t>
      </w:r>
      <w:r>
        <w:rPr>
          <w:rFonts w:ascii="Arial" w:cs="Arial" w:eastAsia="Arial" w:hAnsi="Arial"/>
          <w:sz w:val="16"/>
          <w:szCs w:val="16"/>
          <w:color w:val="auto"/>
        </w:rPr>
        <w:t>. Subject to Section 9(a) relating to Capitalization Adjustments, the aggregate number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that may be issued pursuant to Stock Awards granted under the Plan from and after the Effective Date shall not exceed 1,500,000 shares (the “</w:t>
      </w:r>
      <w:r>
        <w:rPr>
          <w:rFonts w:ascii="Arial" w:cs="Arial" w:eastAsia="Arial" w:hAnsi="Arial"/>
          <w:sz w:val="16"/>
          <w:szCs w:val="16"/>
          <w:u w:val="single" w:color="auto"/>
          <w:color w:val="auto"/>
        </w:rPr>
        <w:t>Share Reserve</w:t>
      </w:r>
      <w:r>
        <w:rPr>
          <w:rFonts w:ascii="Arial" w:cs="Arial" w:eastAsia="Arial" w:hAnsi="Arial"/>
          <w:sz w:val="16"/>
          <w:szCs w:val="16"/>
          <w:color w:val="auto"/>
        </w:rPr>
        <w:t>”), of which up to 1,500,000 shares may be issued pursuant to Incentive Stock Options. To the extent permitted by Nasdaq Listing Rule 5635(c)(3) or other applicable national stock exchange rule, shares of Common Stock may be issued by the Company in connection with a merger or acquisition without reducing the number of shares available for issuance under the Plan. Furthermore, if a Stock Award or any portion thereof (i) expires or otherwise terminates without all of the shares covered by such Stock Award having been issued or (ii) is settled in cash by reason of the Participant receiving cash rather than stock, the number of shares of Common Stock subject to such Stock Award that were not issued with respect to such Stock Award shall not be treated as having been issued for purposes of this Section 3(a) and the Share Reserve shall be increased by such number of shares.</w:t>
      </w:r>
    </w:p>
    <w:p>
      <w:pPr>
        <w:spacing w:after="0" w:line="166" w:lineRule="exact"/>
        <w:rPr>
          <w:rFonts w:ascii="Arial" w:cs="Arial" w:eastAsia="Arial" w:hAnsi="Arial"/>
          <w:sz w:val="16"/>
          <w:szCs w:val="16"/>
          <w:b w:val="1"/>
          <w:bCs w:val="1"/>
          <w:color w:val="auto"/>
        </w:rPr>
      </w:pPr>
    </w:p>
    <w:p>
      <w:pPr>
        <w:ind w:left="912" w:hanging="264"/>
        <w:spacing w:after="0"/>
        <w:tabs>
          <w:tab w:leader="none" w:pos="912"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 Counting; Reversion of Shares to the Share Reserve.</w:t>
      </w:r>
    </w:p>
    <w:p>
      <w:pPr>
        <w:spacing w:after="0" w:line="229" w:lineRule="exact"/>
        <w:rPr>
          <w:rFonts w:ascii="Arial" w:cs="Arial" w:eastAsia="Arial" w:hAnsi="Arial"/>
          <w:sz w:val="18"/>
          <w:szCs w:val="18"/>
          <w:b w:val="1"/>
          <w:bCs w:val="1"/>
          <w:color w:val="auto"/>
        </w:rPr>
      </w:pPr>
    </w:p>
    <w:p>
      <w:pPr>
        <w:ind w:left="-8" w:firstLine="1304"/>
        <w:spacing w:after="0" w:line="288" w:lineRule="auto"/>
        <w:tabs>
          <w:tab w:leader="none" w:pos="1503" w:val="left"/>
        </w:tabs>
        <w:numPr>
          <w:ilvl w:val="2"/>
          <w:numId w:val="24"/>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Full Value Award</w:t>
      </w:r>
      <w:r>
        <w:rPr>
          <w:rFonts w:ascii="Arial" w:cs="Arial" w:eastAsia="Arial" w:hAnsi="Arial"/>
          <w:sz w:val="16"/>
          <w:szCs w:val="16"/>
          <w:color w:val="auto"/>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set forth in Section 3(a) as one share. Each share of Common Stock subject to a Full Value Award shall be counted against the Share Reserve as two shares of Common Stock; provided, however, that each share of Common Stock subject to a Full Value Award that is forfeited or repurchased pursuant to the first sentence of Section 3(b)(ii), and each share of Common Stock subject to a Full Value Award that is not issued because a Stock Award expires, terminates without issuance or is settled in cash as described in the last sentence of Section 3(a), shall be counted as two shares of Common Stock for purposes of determining the number of shares of Common Stock again becoming available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596265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39" w:name="page40"/>
    <w:bookmarkEnd w:id="39"/>
    <w:p>
      <w:pPr>
        <w:ind w:left="-8" w:firstLine="1304"/>
        <w:spacing w:after="0" w:line="271" w:lineRule="auto"/>
        <w:tabs>
          <w:tab w:leader="none" w:pos="1553" w:val="left"/>
        </w:tabs>
        <w:numPr>
          <w:ilvl w:val="2"/>
          <w:numId w:val="25"/>
        </w:numPr>
        <w:rPr>
          <w:rFonts w:ascii="Arial" w:cs="Arial" w:eastAsia="Arial" w:hAnsi="Arial"/>
          <w:sz w:val="17"/>
          <w:szCs w:val="17"/>
          <w:color w:val="auto"/>
        </w:rPr>
      </w:pPr>
      <w:r>
        <w:rPr>
          <w:rFonts w:ascii="Arial" w:cs="Arial" w:eastAsia="Arial" w:hAnsi="Arial"/>
          <w:sz w:val="17"/>
          <w:szCs w:val="17"/>
          <w:color w:val="auto"/>
        </w:rPr>
        <w:t>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 Shares of Common Stock that are reacquired or withheld by the Company pursuant to Section 8(f)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spacing w:after="0" w:line="174" w:lineRule="exact"/>
        <w:rPr>
          <w:rFonts w:ascii="Arial" w:cs="Arial" w:eastAsia="Arial" w:hAnsi="Arial"/>
          <w:sz w:val="17"/>
          <w:szCs w:val="17"/>
          <w:color w:val="auto"/>
        </w:rPr>
      </w:pPr>
    </w:p>
    <w:p>
      <w:pPr>
        <w:ind w:left="-8" w:right="460" w:firstLine="656"/>
        <w:spacing w:after="0" w:line="282" w:lineRule="auto"/>
        <w:tabs>
          <w:tab w:leader="none" w:pos="885"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shall be shares of authorized but unissued or reacquired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including shares repurchased by the Company on the open market or otherwise.</w:t>
      </w:r>
    </w:p>
    <w:p>
      <w:pPr>
        <w:spacing w:after="0" w:line="161" w:lineRule="exact"/>
        <w:rPr>
          <w:rFonts w:ascii="Arial" w:cs="Arial" w:eastAsia="Arial" w:hAnsi="Arial"/>
          <w:sz w:val="18"/>
          <w:szCs w:val="18"/>
          <w:b w:val="1"/>
          <w:bCs w:val="1"/>
          <w:color w:val="auto"/>
        </w:rPr>
      </w:pPr>
    </w:p>
    <w:p>
      <w:pPr>
        <w:ind w:left="172" w:hanging="172"/>
        <w:spacing w:after="0"/>
        <w:tabs>
          <w:tab w:leader="none" w:pos="1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AWARD LIMITATIONS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60" w:firstLine="656"/>
        <w:spacing w:after="0" w:line="292" w:lineRule="auto"/>
        <w:tabs>
          <w:tab w:leader="none" w:pos="895"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the stock underlying such Stock Awards is treated as “service recipient stock” under Section 409A of the Code because the Stock Awards are granted pursuant to a corporate transaction (such as a spin-off transaction) or unless such Stock Awards comply with the distribution requirements of Section 409A of the Code.</w:t>
      </w:r>
    </w:p>
    <w:p>
      <w:pPr>
        <w:spacing w:after="0" w:line="161" w:lineRule="exact"/>
        <w:rPr>
          <w:rFonts w:ascii="Arial" w:cs="Arial" w:eastAsia="Arial" w:hAnsi="Arial"/>
          <w:sz w:val="16"/>
          <w:szCs w:val="16"/>
          <w:b w:val="1"/>
          <w:bCs w:val="1"/>
          <w:color w:val="auto"/>
        </w:rPr>
      </w:pPr>
    </w:p>
    <w:p>
      <w:pPr>
        <w:jc w:val="both"/>
        <w:ind w:left="-8" w:right="160" w:firstLine="656"/>
        <w:spacing w:after="0" w:line="266" w:lineRule="auto"/>
        <w:tabs>
          <w:tab w:leader="none" w:pos="905"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Shareholders</w:t>
      </w:r>
      <w:r>
        <w:rPr>
          <w:rFonts w:ascii="Arial" w:cs="Arial" w:eastAsia="Arial" w:hAnsi="Arial"/>
          <w:sz w:val="18"/>
          <w:szCs w:val="18"/>
          <w:color w:val="auto"/>
        </w:rPr>
        <w:t>. A Ten Percent Shareholder shall not be granted an Incentive Stock Option unless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such Option is at least 110% of the Fair Market Value on the date of grant and the Option is not exercisable after the expiration of five years from the date of grant.</w:t>
      </w:r>
    </w:p>
    <w:p>
      <w:pPr>
        <w:spacing w:after="0" w:line="175" w:lineRule="exact"/>
        <w:rPr>
          <w:rFonts w:ascii="Arial" w:cs="Arial" w:eastAsia="Arial" w:hAnsi="Arial"/>
          <w:sz w:val="18"/>
          <w:szCs w:val="18"/>
          <w:b w:val="1"/>
          <w:bCs w:val="1"/>
          <w:color w:val="auto"/>
        </w:rPr>
      </w:pPr>
    </w:p>
    <w:p>
      <w:pPr>
        <w:ind w:left="-8" w:right="20" w:firstLine="656"/>
        <w:spacing w:after="0" w:line="258" w:lineRule="auto"/>
        <w:tabs>
          <w:tab w:leader="none" w:pos="885"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$100,000 Limitation</w:t>
      </w:r>
      <w:r>
        <w:rPr>
          <w:rFonts w:ascii="Arial" w:cs="Arial" w:eastAsia="Arial" w:hAnsi="Arial"/>
          <w:sz w:val="18"/>
          <w:szCs w:val="18"/>
          <w:color w:val="auto"/>
        </w:rPr>
        <w:t>. To the extent that the aggregate Fair Market Value (determined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Common Stock with respect to which Incentive Stock Options are exercisable for the first time by any Optionholder during any calendar year (under all plans of the Company and any Affiliates) exceeds $100,000, the Options or portions thereof that exceed such limit (according to the order in which they were granted) shall be treated as Nonstatutory Stock Options, notwithstanding any provision to the contrary in the applicable Option Agreements.</w:t>
      </w:r>
    </w:p>
    <w:p>
      <w:pPr>
        <w:spacing w:after="0" w:line="183" w:lineRule="exact"/>
        <w:rPr>
          <w:rFonts w:ascii="Arial" w:cs="Arial" w:eastAsia="Arial" w:hAnsi="Arial"/>
          <w:sz w:val="18"/>
          <w:szCs w:val="18"/>
          <w:b w:val="1"/>
          <w:bCs w:val="1"/>
          <w:color w:val="auto"/>
        </w:rPr>
      </w:pPr>
    </w:p>
    <w:p>
      <w:pPr>
        <w:ind w:left="-8" w:firstLine="656"/>
        <w:spacing w:after="0" w:line="288" w:lineRule="auto"/>
        <w:tabs>
          <w:tab w:leader="none" w:pos="905"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Vesting Condition Limitation</w:t>
      </w:r>
      <w:r>
        <w:rPr>
          <w:rFonts w:ascii="Arial" w:cs="Arial" w:eastAsia="Arial" w:hAnsi="Arial"/>
          <w:sz w:val="16"/>
          <w:szCs w:val="16"/>
          <w:color w:val="auto"/>
        </w:rPr>
        <w:t>. Notwithstanding any other provision in the Plan to the contrary, an Award granted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shall vest no earlier than the first anniversary of the date the Award is granted; provided, however, that (i) Awards that result in the issuance of an aggregate of up to five percent of the shares of Common Stock available pursuant to Section 3(a) (as such number of shares of Common Stock may 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described in this Section 4(d)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63" w:lineRule="exact"/>
        <w:rPr>
          <w:rFonts w:ascii="Arial" w:cs="Arial" w:eastAsia="Arial" w:hAnsi="Arial"/>
          <w:sz w:val="16"/>
          <w:szCs w:val="16"/>
          <w:b w:val="1"/>
          <w:bCs w:val="1"/>
          <w:color w:val="auto"/>
        </w:rPr>
      </w:pPr>
    </w:p>
    <w:p>
      <w:pPr>
        <w:ind w:left="-8" w:right="120" w:firstLine="656"/>
        <w:spacing w:after="0" w:line="277" w:lineRule="auto"/>
        <w:tabs>
          <w:tab w:leader="none" w:pos="885"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No Repricing of Stock Awards or Cancellation and Re-Grant of Stock Awards</w:t>
      </w:r>
      <w:r>
        <w:rPr>
          <w:rFonts w:ascii="Arial" w:cs="Arial" w:eastAsia="Arial" w:hAnsi="Arial"/>
          <w:sz w:val="17"/>
          <w:szCs w:val="17"/>
          <w:color w:val="auto"/>
        </w:rPr>
        <w:t>. Except with respect to adjustments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made in accordance with Section 9(a) or 9(c), the Administrator shall not have the authority to (i) reduce the exercise price of any outstanding Option or SAR or take any other action that would be treated, for accounting purposes, as a “repricing” of any outstanding Stock Award under the Plan or (ii) cancel and re-grant any outstanding Stock Award under the Plan, unless the shareholders of the Company approve such reduction, cancellation, re-grant or other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598170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5" w:right="1019" w:bottom="1440" w:gutter="0" w:footer="0" w:header="0"/>
        </w:sectPr>
      </w:pPr>
    </w:p>
    <w:bookmarkStart w:id="40" w:name="page41"/>
    <w:bookmarkEnd w:id="40"/>
    <w:p>
      <w:pPr>
        <w:ind w:right="120" w:firstLine="656"/>
        <w:spacing w:after="0" w:line="269" w:lineRule="auto"/>
        <w:tabs>
          <w:tab w:leader="none" w:pos="873" w:val="left"/>
        </w:tabs>
        <w:numPr>
          <w:ilvl w:val="1"/>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 on Annual Compensation to Non-Employee Directors</w:t>
      </w:r>
      <w:r>
        <w:rPr>
          <w:rFonts w:ascii="Arial" w:cs="Arial" w:eastAsia="Arial" w:hAnsi="Arial"/>
          <w:sz w:val="17"/>
          <w:szCs w:val="17"/>
          <w:color w:val="auto"/>
        </w:rPr>
        <w:t>. In no event shall the compensation payable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a Non-Employee Director for services performed as a Non-Employee Director, including, without limitation, the grant date value (determined in accordance with Financial Accounting Standards Board Accounting Standards Codification Topic 718 or any amendment or successor to such standard)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subject to the provisions of Section 9(a) relating to Capitalization Adjustments, exceed 20,000 shares during any fiscal year. The limitation of 20,000 shares described in this Section 4(f) refers to the actual number of shares of Common Stock that is subject to each Stock Award and such limitation shall be calculated without regard to the provision set forth in Section 3(b)(i) that each share of Common Stock subject to a Full Value Award shall be counted against the Plan’s Share Reserve limit in Section 3(a) as two shares of Common Stock.</w:t>
      </w:r>
    </w:p>
    <w:p>
      <w:pPr>
        <w:spacing w:after="0" w:line="181" w:lineRule="exact"/>
        <w:rPr>
          <w:rFonts w:ascii="Arial" w:cs="Arial" w:eastAsia="Arial" w:hAnsi="Arial"/>
          <w:sz w:val="17"/>
          <w:szCs w:val="17"/>
          <w:b w:val="1"/>
          <w:bCs w:val="1"/>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Option or SAR shall be in such form and shall contain such terms and conditions as the Administrator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provided, however, that each Option Agreement or Stock Appreciation Right Agreement shall conform to (through incorporation of provisions hereof by reference in the applicable Award Agreement or otherwise) the substance of each of the following provisions:</w:t>
      </w:r>
    </w:p>
    <w:p>
      <w:pPr>
        <w:spacing w:after="0" w:line="173" w:lineRule="exact"/>
        <w:rPr>
          <w:sz w:val="20"/>
          <w:szCs w:val="20"/>
          <w:color w:val="auto"/>
        </w:rPr>
      </w:pPr>
    </w:p>
    <w:p>
      <w:pPr>
        <w:ind w:right="60" w:firstLine="656"/>
        <w:spacing w:after="0" w:line="286" w:lineRule="auto"/>
        <w:tabs>
          <w:tab w:leader="none" w:pos="90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term of each Option and SAR shall be set by the Administrator in its sole discretion; provided, however,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shall not be more than ten years from the date the Option or SAR is granted or five years from the date an Incentive Stock Option is granted to a Ten Percent Shareholder. The Administrator shall determine the time period, including the time period following any termination of a Participant's Continuous Service, during which the Participant has the right to exercise a vested Option or SAR, which time period may not extend beyond the expiration date of the Option or SAR term. Except as limited by the requirements of Section</w:t>
      </w:r>
    </w:p>
    <w:p>
      <w:pPr>
        <w:spacing w:after="0" w:line="2" w:lineRule="exact"/>
        <w:rPr>
          <w:rFonts w:ascii="Arial" w:cs="Arial" w:eastAsia="Arial" w:hAnsi="Arial"/>
          <w:sz w:val="16"/>
          <w:szCs w:val="16"/>
          <w:b w:val="1"/>
          <w:bCs w:val="1"/>
          <w:color w:val="auto"/>
        </w:rPr>
      </w:pPr>
    </w:p>
    <w:p>
      <w:pPr>
        <w:ind w:right="16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409A or Section 422 of the Code, the Administrator may extend the term of any outstanding Option or SAR, and may extend the time period during which a vested Option or SAR may be exercised, in connection with any termination of the Participant's Continuous Service, and may amend any other term or condition of such Option or SAR relating to such a termination of Continuous Service, provided, however, that such term or time period shall not be extended beyond the date described in the first sentence of this paragraph.</w:t>
      </w:r>
    </w:p>
    <w:p>
      <w:pPr>
        <w:spacing w:after="0" w:line="157" w:lineRule="exact"/>
        <w:rPr>
          <w:rFonts w:ascii="Arial" w:cs="Arial" w:eastAsia="Arial" w:hAnsi="Arial"/>
          <w:sz w:val="16"/>
          <w:szCs w:val="16"/>
          <w:b w:val="1"/>
          <w:bCs w:val="1"/>
          <w:color w:val="auto"/>
        </w:rPr>
      </w:pPr>
    </w:p>
    <w:p>
      <w:pPr>
        <w:ind w:right="20" w:firstLine="656"/>
        <w:spacing w:after="0" w:line="273" w:lineRule="auto"/>
        <w:tabs>
          <w:tab w:leader="none" w:pos="91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Price</w:t>
      </w:r>
      <w:r>
        <w:rPr>
          <w:rFonts w:ascii="Arial" w:cs="Arial" w:eastAsia="Arial" w:hAnsi="Arial"/>
          <w:sz w:val="17"/>
          <w:szCs w:val="17"/>
          <w:color w:val="auto"/>
        </w:rPr>
        <w:t>. Subject to the provisions of Section 4(b) regarding Ten Percent Shareholders, the exercise price (or strike</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each Option or SAR shall be not less than 100% of the Fair Market Value of the Common Stock subject to the Option or SAR on the date the Option or SAR is granted. Notwithstanding the foregoing, an Option or SAR may be issued with an exercise price (or strike price) lower than 100% of the Fair Market Value of the Common Stock subject to the Option or SAR if such Option or SAR is issued pursuant to an assumption of or substitution for another option or stock appreciation right pursuant to a Change in Control and in a manner consistent with the provisions of Section 409A of the Code and, if applicable, Section 424(a) of the Code. Each SAR will be denominated in shares of Common Stock equivalents.</w:t>
      </w:r>
    </w:p>
    <w:p>
      <w:pPr>
        <w:spacing w:after="0" w:line="171" w:lineRule="exact"/>
        <w:rPr>
          <w:rFonts w:ascii="Arial" w:cs="Arial" w:eastAsia="Arial" w:hAnsi="Arial"/>
          <w:sz w:val="17"/>
          <w:szCs w:val="17"/>
          <w:b w:val="1"/>
          <w:bCs w:val="1"/>
          <w:color w:val="auto"/>
        </w:rPr>
      </w:pPr>
    </w:p>
    <w:p>
      <w:pPr>
        <w:ind w:right="140" w:firstLine="656"/>
        <w:spacing w:after="0" w:line="277" w:lineRule="auto"/>
        <w:tabs>
          <w:tab w:leader="none" w:pos="89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Purchase Price for Options</w:t>
      </w:r>
      <w:r>
        <w:rPr>
          <w:rFonts w:ascii="Arial" w:cs="Arial" w:eastAsia="Arial" w:hAnsi="Arial"/>
          <w:sz w:val="17"/>
          <w:szCs w:val="17"/>
          <w:color w:val="auto"/>
        </w:rPr>
        <w:t>. The purchase price of Common Stock acquired pursuant to the exercise of an Option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to the extent permitted by applicable law and as determined by the Administrator in its sole discretion, by any combination of the methods of payment set forth below. The Administrator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71" w:lineRule="exact"/>
        <w:rPr>
          <w:rFonts w:ascii="Arial" w:cs="Arial" w:eastAsia="Arial" w:hAnsi="Arial"/>
          <w:sz w:val="17"/>
          <w:szCs w:val="17"/>
          <w:b w:val="1"/>
          <w:bCs w:val="1"/>
          <w:color w:val="auto"/>
        </w:rPr>
      </w:pPr>
    </w:p>
    <w:p>
      <w:pPr>
        <w:ind w:left="1520" w:hanging="216"/>
        <w:spacing w:after="0"/>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cash, check, bank draft or money order payable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ind w:right="200" w:firstLine="1304"/>
        <w:spacing w:after="0" w:line="286" w:lineRule="auto"/>
        <w:tabs>
          <w:tab w:leader="none" w:pos="1561" w:val="left"/>
        </w:tabs>
        <w:numPr>
          <w:ilvl w:val="1"/>
          <w:numId w:val="31"/>
        </w:numPr>
        <w:rPr>
          <w:rFonts w:ascii="Arial" w:cs="Arial" w:eastAsia="Arial" w:hAnsi="Arial"/>
          <w:sz w:val="17"/>
          <w:szCs w:val="17"/>
          <w:color w:val="auto"/>
        </w:rPr>
      </w:pPr>
      <w:r>
        <w:rPr>
          <w:rFonts w:ascii="Arial" w:cs="Arial" w:eastAsia="Arial" w:hAnsi="Arial"/>
          <w:sz w:val="17"/>
          <w:szCs w:val="17"/>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a broker to pay the aggregate exercise price to the Company from the sales proceeds;</w:t>
      </w:r>
    </w:p>
    <w:p>
      <w:pPr>
        <w:spacing w:after="0" w:line="165" w:lineRule="exact"/>
        <w:rPr>
          <w:rFonts w:ascii="Arial" w:cs="Arial" w:eastAsia="Arial" w:hAnsi="Arial"/>
          <w:sz w:val="17"/>
          <w:szCs w:val="17"/>
          <w:color w:val="auto"/>
        </w:rPr>
      </w:pPr>
    </w:p>
    <w:p>
      <w:pPr>
        <w:ind w:right="140" w:firstLine="1304"/>
        <w:spacing w:after="0" w:line="277" w:lineRule="auto"/>
        <w:tabs>
          <w:tab w:leader="none" w:pos="16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By delivery to the Company of shares of Common Stock already owned by the Participant and valued at the Fair Market Value as of the date of delivery to the Company;</w:t>
      </w:r>
    </w:p>
    <w:p>
      <w:pPr>
        <w:spacing w:after="0" w:line="170" w:lineRule="exact"/>
        <w:rPr>
          <w:rFonts w:ascii="Arial" w:cs="Arial" w:eastAsia="Arial" w:hAnsi="Arial"/>
          <w:sz w:val="18"/>
          <w:szCs w:val="18"/>
          <w:color w:val="auto"/>
        </w:rPr>
      </w:pPr>
    </w:p>
    <w:p>
      <w:pPr>
        <w:ind w:right="20" w:firstLine="1304"/>
        <w:spacing w:after="0" w:line="291" w:lineRule="auto"/>
        <w:tabs>
          <w:tab w:leader="none" w:pos="1601"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shall accept a cash or other payment from the Participant to the extent of any remaining balance of the aggregate exercise price not satisfied by such reduction in the number of whole shares to be issued; provided, further,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and</w:t>
      </w:r>
    </w:p>
    <w:p>
      <w:pPr>
        <w:spacing w:after="0" w:line="166" w:lineRule="exact"/>
        <w:rPr>
          <w:rFonts w:ascii="Arial" w:cs="Arial" w:eastAsia="Arial" w:hAnsi="Arial"/>
          <w:sz w:val="16"/>
          <w:szCs w:val="16"/>
          <w:color w:val="auto"/>
        </w:rPr>
      </w:pPr>
    </w:p>
    <w:p>
      <w:pPr>
        <w:ind w:left="1560" w:hanging="256"/>
        <w:spacing w:after="0"/>
        <w:tabs>
          <w:tab w:leader="none" w:pos="15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any other form of legal consideration that may be acceptable to the Administrator and specified in the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 Agreement.</w:t>
      </w:r>
    </w:p>
    <w:p>
      <w:pPr>
        <w:spacing w:after="0" w:line="206" w:lineRule="exact"/>
        <w:rPr>
          <w:rFonts w:ascii="Arial" w:cs="Arial" w:eastAsia="Arial" w:hAnsi="Arial"/>
          <w:sz w:val="16"/>
          <w:szCs w:val="16"/>
          <w:color w:val="auto"/>
        </w:rPr>
      </w:pPr>
    </w:p>
    <w:p>
      <w:pPr>
        <w:ind w:right="20" w:firstLine="656"/>
        <w:spacing w:after="0" w:line="291" w:lineRule="auto"/>
        <w:tabs>
          <w:tab w:leader="none" w:pos="913"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Exercise and Payment of a SAR</w:t>
      </w:r>
      <w:r>
        <w:rPr>
          <w:rFonts w:ascii="Arial" w:cs="Arial" w:eastAsia="Arial" w:hAnsi="Arial"/>
          <w:sz w:val="16"/>
          <w:szCs w:val="16"/>
          <w:color w:val="auto"/>
        </w:rPr>
        <w:t>. To exercise any outstanding SAR, the Participant must provide written notice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compliance with the provisions of the Stock Appreciation Right Agreement evidencing such SAR. The appreciation distribution payable on the exercise of a SAR will be not greater than an amount equal to the excess of (i)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(ii) the strike price that will be determined by the Administrator at the time of grant of the SAR. The appreciation distribution in respect to a SAR may be paid in Common Stock, in cash, in any combination of the two or in any other form of consideration, as determined by the Administrator and contained in the Stock Appreciation Right Agreement evidencing such SAR.</w:t>
      </w:r>
    </w:p>
    <w:p>
      <w:pPr>
        <w:spacing w:after="0" w:line="159" w:lineRule="exact"/>
        <w:rPr>
          <w:rFonts w:ascii="Arial" w:cs="Arial" w:eastAsia="Arial" w:hAnsi="Arial"/>
          <w:sz w:val="16"/>
          <w:szCs w:val="16"/>
          <w:b w:val="1"/>
          <w:bCs w:val="1"/>
          <w:color w:val="auto"/>
        </w:rPr>
      </w:pPr>
    </w:p>
    <w:p>
      <w:pPr>
        <w:ind w:right="20" w:firstLine="656"/>
        <w:spacing w:after="0" w:line="266" w:lineRule="auto"/>
        <w:tabs>
          <w:tab w:leader="none" w:pos="89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Administrator may, in its sole discretion, impose such limitations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transferability of Options and SARs as the Administrator shall determine. In the absence of such a determination by the Administrator to the contrary, the following restrictions on the transferability of Options and SARs shall apply:</w:t>
      </w:r>
    </w:p>
    <w:p>
      <w:pPr>
        <w:spacing w:after="0" w:line="175" w:lineRule="exact"/>
        <w:rPr>
          <w:rFonts w:ascii="Arial" w:cs="Arial" w:eastAsia="Arial" w:hAnsi="Arial"/>
          <w:sz w:val="18"/>
          <w:szCs w:val="18"/>
          <w:b w:val="1"/>
          <w:bCs w:val="1"/>
          <w:color w:val="auto"/>
        </w:rPr>
      </w:pPr>
    </w:p>
    <w:p>
      <w:pPr>
        <w:ind w:right="60" w:firstLine="1304"/>
        <w:spacing w:after="0" w:line="258" w:lineRule="auto"/>
        <w:tabs>
          <w:tab w:leader="none" w:pos="1511"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shall not be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shall be exercisable during the lifetime of the Participant only by the Participant; provided, however, that the Administrator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83" w:lineRule="exact"/>
        <w:rPr>
          <w:rFonts w:ascii="Arial" w:cs="Arial" w:eastAsia="Arial" w:hAnsi="Arial"/>
          <w:sz w:val="18"/>
          <w:szCs w:val="18"/>
          <w:b w:val="1"/>
          <w:bCs w:val="1"/>
          <w:color w:val="auto"/>
        </w:rPr>
      </w:pPr>
    </w:p>
    <w:p>
      <w:pPr>
        <w:ind w:right="160" w:firstLine="1304"/>
        <w:spacing w:after="0" w:line="266" w:lineRule="auto"/>
        <w:tabs>
          <w:tab w:leader="none" w:pos="1561"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Notwithstanding the foregoing, an Option or SAR may be transferred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relations order; provided, however, that if an Option is an Incentive Stock Option, such Option may be deemed to be a Nonstatutory Stock Option as a result of such transfer.</w:t>
      </w:r>
    </w:p>
    <w:p>
      <w:pPr>
        <w:spacing w:after="0" w:line="175" w:lineRule="exact"/>
        <w:rPr>
          <w:rFonts w:ascii="Arial" w:cs="Arial" w:eastAsia="Arial" w:hAnsi="Arial"/>
          <w:sz w:val="18"/>
          <w:szCs w:val="18"/>
          <w:b w:val="1"/>
          <w:bCs w:val="1"/>
          <w:color w:val="auto"/>
        </w:rPr>
      </w:pPr>
    </w:p>
    <w:p>
      <w:pPr>
        <w:ind w:right="100" w:firstLine="1304"/>
        <w:spacing w:after="0" w:line="256" w:lineRule="auto"/>
        <w:tabs>
          <w:tab w:leader="none" w:pos="1611"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Notwithstanding the foregoing, the Participant may, by delivering written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42" w:name="page43"/>
    <w:bookmarkEnd w:id="42"/>
    <w:p>
      <w:pPr>
        <w:ind w:left="-460" w:right="100" w:firstLine="656"/>
        <w:spacing w:after="0" w:line="274" w:lineRule="auto"/>
        <w:tabs>
          <w:tab w:leader="none" w:pos="413"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Subject to Section 4(d), the total number of shares of Common Stock subject to an Option or SAR may</w:t>
      </w:r>
      <w:r>
        <w:rPr>
          <w:rFonts w:ascii="Arial" w:cs="Arial" w:eastAsia="Arial" w:hAnsi="Arial"/>
          <w:sz w:val="17"/>
          <w:szCs w:val="17"/>
          <w:b w:val="1"/>
          <w:bCs w:val="1"/>
          <w:color w:val="auto"/>
        </w:rPr>
        <w:t xml:space="preserve"> </w:t>
      </w:r>
      <w:r>
        <w:rPr>
          <w:rFonts w:ascii="Arial" w:cs="Arial" w:eastAsia="Arial" w:hAnsi="Arial"/>
          <w:sz w:val="17"/>
          <w:szCs w:val="17"/>
          <w:color w:val="auto"/>
        </w:rPr>
        <w:t>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3" w:lineRule="exact"/>
        <w:rPr>
          <w:rFonts w:ascii="Arial" w:cs="Arial" w:eastAsia="Arial" w:hAnsi="Arial"/>
          <w:sz w:val="17"/>
          <w:szCs w:val="17"/>
          <w:b w:val="1"/>
          <w:bCs w:val="1"/>
          <w:color w:val="auto"/>
        </w:rPr>
      </w:pPr>
    </w:p>
    <w:p>
      <w:pPr>
        <w:ind w:left="-460" w:right="60" w:firstLine="656"/>
        <w:spacing w:after="0" w:line="269" w:lineRule="auto"/>
        <w:tabs>
          <w:tab w:leader="none" w:pos="443"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Award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or except as otherwise extended by the Administrator,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 except as otherwise determined by the Administrator. Notwithstanding any provision in the Plan to the contrary, the Administrator may, in its sole discretion and subject to whatever terms and conditions it elects, provide in the Award Agreement for continued vesting of an Option or SAR following a termination of Continuous Service.</w:t>
      </w:r>
    </w:p>
    <w:p>
      <w:pPr>
        <w:spacing w:after="0" w:line="181" w:lineRule="exact"/>
        <w:rPr>
          <w:rFonts w:ascii="Arial" w:cs="Arial" w:eastAsia="Arial" w:hAnsi="Arial"/>
          <w:sz w:val="17"/>
          <w:szCs w:val="17"/>
          <w:b w:val="1"/>
          <w:bCs w:val="1"/>
          <w:color w:val="auto"/>
        </w:rPr>
      </w:pPr>
    </w:p>
    <w:p>
      <w:pPr>
        <w:ind w:left="-460" w:firstLine="656"/>
        <w:spacing w:after="0" w:line="269" w:lineRule="auto"/>
        <w:tabs>
          <w:tab w:leader="none" w:pos="453"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If the exercise of an Option or SAR following the termination of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total period of three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Award Agreement or as otherwise determined by the Administrator. In addition, unless otherwise provided in a Participant’s Award Agreement or as otherwise determined by the Administrator,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5" w:lineRule="exact"/>
        <w:rPr>
          <w:rFonts w:ascii="Arial" w:cs="Arial" w:eastAsia="Arial" w:hAnsi="Arial"/>
          <w:sz w:val="17"/>
          <w:szCs w:val="17"/>
          <w:b w:val="1"/>
          <w:bCs w:val="1"/>
          <w:color w:val="auto"/>
        </w:rPr>
      </w:pPr>
    </w:p>
    <w:p>
      <w:pPr>
        <w:ind w:left="-460" w:firstLine="656"/>
        <w:spacing w:after="0" w:line="291" w:lineRule="auto"/>
        <w:tabs>
          <w:tab w:leader="none" w:pos="40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Disability of a Participant</w:t>
      </w:r>
      <w:r>
        <w:rPr>
          <w:rFonts w:ascii="Arial" w:cs="Arial" w:eastAsia="Arial" w:hAnsi="Arial"/>
          <w:sz w:val="16"/>
          <w:szCs w:val="16"/>
          <w:color w:val="auto"/>
        </w:rPr>
        <w:t>. Except as otherwise provided in the applicable Award Agreement or other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and the Company or except as otherwise extended by the Administrator,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 except as otherwise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593090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3" w:name="page44"/>
    <w:bookmarkEnd w:id="43"/>
    <w:p>
      <w:pPr>
        <w:ind w:left="-8" w:firstLine="656"/>
        <w:spacing w:after="0" w:line="289" w:lineRule="auto"/>
        <w:tabs>
          <w:tab w:leader="none" w:pos="865"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Death of a Participant</w:t>
      </w:r>
      <w:r>
        <w:rPr>
          <w:rFonts w:ascii="Arial" w:cs="Arial" w:eastAsia="Arial" w:hAnsi="Arial"/>
          <w:sz w:val="16"/>
          <w:szCs w:val="16"/>
          <w:color w:val="auto"/>
        </w:rPr>
        <w:t>. Except as otherwise provided in the applicable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except as otherwise extended by the Administrator, if (i) a Participant’s Continuous Service terminates as a result of the Participant’s death or (ii) the Participant dies within the period (if any) specified in the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 except as otherwise determined by the Administrator.</w:t>
      </w:r>
    </w:p>
    <w:p>
      <w:pPr>
        <w:spacing w:after="0" w:line="160" w:lineRule="exact"/>
        <w:rPr>
          <w:rFonts w:ascii="Arial" w:cs="Arial" w:eastAsia="Arial" w:hAnsi="Arial"/>
          <w:sz w:val="16"/>
          <w:szCs w:val="16"/>
          <w:b w:val="1"/>
          <w:bCs w:val="1"/>
          <w:color w:val="auto"/>
        </w:rPr>
      </w:pPr>
    </w:p>
    <w:p>
      <w:pPr>
        <w:jc w:val="both"/>
        <w:ind w:left="-8" w:right="60" w:firstLine="656"/>
        <w:spacing w:after="0" w:line="261" w:lineRule="auto"/>
        <w:tabs>
          <w:tab w:leader="none" w:pos="905"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Award Agreement or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by the Administrator, if a Participant’s Continuous Service is terminated for Cause, the Option or SAR shall terminate upon the date on which the Participant’s Continuous Service terminated, and the Participant shall be prohibited from exercising his or her Option or SAR from and after the date of such termination of Continuous Service.</w:t>
      </w:r>
    </w:p>
    <w:p>
      <w:pPr>
        <w:spacing w:after="0" w:line="179" w:lineRule="exact"/>
        <w:rPr>
          <w:rFonts w:ascii="Arial" w:cs="Arial" w:eastAsia="Arial" w:hAnsi="Arial"/>
          <w:sz w:val="18"/>
          <w:szCs w:val="18"/>
          <w:b w:val="1"/>
          <w:bCs w:val="1"/>
          <w:color w:val="auto"/>
        </w:rPr>
      </w:pPr>
    </w:p>
    <w:p>
      <w:pPr>
        <w:ind w:left="172" w:hanging="172"/>
        <w:spacing w:after="0"/>
        <w:tabs>
          <w:tab w:leader="none" w:pos="17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20" w:firstLine="656"/>
        <w:spacing w:after="0" w:line="272" w:lineRule="auto"/>
        <w:tabs>
          <w:tab w:leader="none" w:pos="895"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shall be in such form and shall contain such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the Administrator shall deem appropriate. To the extent consistent with the Company’s Bylaws, at the Administrator’s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Administrator.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spacing w:after="0" w:line="171" w:lineRule="exact"/>
        <w:rPr>
          <w:rFonts w:ascii="Arial" w:cs="Arial" w:eastAsia="Arial" w:hAnsi="Arial"/>
          <w:sz w:val="17"/>
          <w:szCs w:val="17"/>
          <w:b w:val="1"/>
          <w:bCs w:val="1"/>
          <w:color w:val="auto"/>
        </w:rPr>
      </w:pPr>
    </w:p>
    <w:p>
      <w:pPr>
        <w:ind w:left="-8" w:right="100" w:firstLine="1304"/>
        <w:spacing w:after="0" w:line="266" w:lineRule="auto"/>
        <w:tabs>
          <w:tab w:leader="none" w:pos="150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order payable to the Company, (B) past services to the Company or an Affiliate, or (C) any other form of legal consideration that may be acceptable to the Administrator, in its sole discretion, and permissible under applicable law.</w:t>
      </w:r>
    </w:p>
    <w:p>
      <w:pPr>
        <w:spacing w:after="0" w:line="175" w:lineRule="exact"/>
        <w:rPr>
          <w:rFonts w:ascii="Arial" w:cs="Arial" w:eastAsia="Arial" w:hAnsi="Arial"/>
          <w:sz w:val="18"/>
          <w:szCs w:val="18"/>
          <w:b w:val="1"/>
          <w:bCs w:val="1"/>
          <w:color w:val="auto"/>
        </w:rPr>
      </w:pPr>
    </w:p>
    <w:p>
      <w:pPr>
        <w:ind w:left="-8" w:right="180" w:firstLine="1304"/>
        <w:spacing w:after="0" w:line="347" w:lineRule="auto"/>
        <w:tabs>
          <w:tab w:leader="none" w:pos="1553" w:val="left"/>
        </w:tabs>
        <w:numPr>
          <w:ilvl w:val="2"/>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Subject to Section 4(d), shares of Common Stock awarded under the Restricted Stock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forfeiture to the Company in accordance with a vesting schedule to be determined by the Administrator.</w:t>
      </w:r>
    </w:p>
    <w:p>
      <w:pPr>
        <w:spacing w:after="0" w:line="115" w:lineRule="exact"/>
        <w:rPr>
          <w:rFonts w:ascii="Arial" w:cs="Arial" w:eastAsia="Arial" w:hAnsi="Arial"/>
          <w:sz w:val="16"/>
          <w:szCs w:val="16"/>
          <w:b w:val="1"/>
          <w:bCs w:val="1"/>
          <w:color w:val="auto"/>
        </w:rPr>
      </w:pPr>
    </w:p>
    <w:p>
      <w:pPr>
        <w:ind w:left="-8" w:right="560" w:firstLine="1304"/>
        <w:spacing w:after="0" w:line="261" w:lineRule="auto"/>
        <w:tabs>
          <w:tab w:leader="none" w:pos="160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 Participant’s Continuous Service</w:t>
      </w:r>
      <w:r>
        <w:rPr>
          <w:rFonts w:ascii="Arial" w:cs="Arial" w:eastAsia="Arial" w:hAnsi="Arial"/>
          <w:sz w:val="18"/>
          <w:szCs w:val="18"/>
          <w:color w:val="auto"/>
        </w:rPr>
        <w:t>. If a Participant’s Continuous Service terminates,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9" w:lineRule="exact"/>
        <w:rPr>
          <w:rFonts w:ascii="Arial" w:cs="Arial" w:eastAsia="Arial" w:hAnsi="Arial"/>
          <w:sz w:val="18"/>
          <w:szCs w:val="18"/>
          <w:b w:val="1"/>
          <w:bCs w:val="1"/>
          <w:color w:val="auto"/>
        </w:rPr>
      </w:pPr>
    </w:p>
    <w:p>
      <w:pPr>
        <w:ind w:left="-8" w:right="60" w:firstLine="1304"/>
        <w:spacing w:after="0" w:line="261" w:lineRule="auto"/>
        <w:tabs>
          <w:tab w:leader="none" w:pos="1593" w:val="left"/>
        </w:tabs>
        <w:numPr>
          <w:ilvl w:val="2"/>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by the Participant only upon such terms and conditions as are set forth in the Restricted Stock Award Agreement, as the Administrator shall determine in its sole discretion, so long as Common Stock awarded under the Restricted Stock Award Agreement remains subject to the terms of the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880110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4" w:name="page45"/>
    <w:bookmarkEnd w:id="44"/>
    <w:p>
      <w:pPr>
        <w:ind w:left="-460" w:right="80" w:firstLine="656"/>
        <w:spacing w:after="0" w:line="298" w:lineRule="auto"/>
        <w:tabs>
          <w:tab w:leader="none" w:pos="45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Unit Awards</w:t>
      </w:r>
      <w:r>
        <w:rPr>
          <w:rFonts w:ascii="Arial" w:cs="Arial" w:eastAsia="Arial" w:hAnsi="Arial"/>
          <w:sz w:val="16"/>
          <w:szCs w:val="16"/>
          <w:color w:val="auto"/>
        </w:rPr>
        <w:t>. Each Restricted Stock Unit Award Agreement shall be in such form and shall contain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as the Administrator shall 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conform to (through incorporation of the provisions hereof by reference in the agreement or otherwise) the substance of each of the following provisions:</w:t>
      </w:r>
    </w:p>
    <w:p>
      <w:pPr>
        <w:spacing w:after="0" w:line="153" w:lineRule="exact"/>
        <w:rPr>
          <w:rFonts w:ascii="Arial" w:cs="Arial" w:eastAsia="Arial" w:hAnsi="Arial"/>
          <w:sz w:val="16"/>
          <w:szCs w:val="16"/>
          <w:b w:val="1"/>
          <w:bCs w:val="1"/>
          <w:color w:val="auto"/>
        </w:rPr>
      </w:pPr>
    </w:p>
    <w:p>
      <w:pPr>
        <w:ind w:left="-460" w:right="20" w:firstLine="1304"/>
        <w:spacing w:after="0" w:line="258" w:lineRule="auto"/>
        <w:tabs>
          <w:tab w:leader="none" w:pos="1051"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Administrator will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spacing w:after="0" w:line="183" w:lineRule="exact"/>
        <w:rPr>
          <w:rFonts w:ascii="Arial" w:cs="Arial" w:eastAsia="Arial" w:hAnsi="Arial"/>
          <w:sz w:val="18"/>
          <w:szCs w:val="18"/>
          <w:b w:val="1"/>
          <w:bCs w:val="1"/>
          <w:color w:val="auto"/>
        </w:rPr>
      </w:pPr>
    </w:p>
    <w:p>
      <w:pPr>
        <w:ind w:left="-460" w:right="40" w:firstLine="1304"/>
        <w:spacing w:after="0" w:line="347" w:lineRule="auto"/>
        <w:tabs>
          <w:tab w:leader="none" w:pos="110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Subject to Section 4(d), at the time of the grant of a Restricted Stock Unit Award, the Administrator may</w:t>
      </w:r>
      <w:r>
        <w:rPr>
          <w:rFonts w:ascii="Arial" w:cs="Arial" w:eastAsia="Arial" w:hAnsi="Arial"/>
          <w:sz w:val="16"/>
          <w:szCs w:val="16"/>
          <w:b w:val="1"/>
          <w:bCs w:val="1"/>
          <w:color w:val="auto"/>
        </w:rPr>
        <w:t xml:space="preserve"> </w:t>
      </w:r>
      <w:r>
        <w:rPr>
          <w:rFonts w:ascii="Arial" w:cs="Arial" w:eastAsia="Arial" w:hAnsi="Arial"/>
          <w:sz w:val="16"/>
          <w:szCs w:val="16"/>
          <w:color w:val="auto"/>
        </w:rPr>
        <w:t>impose such restrictions on or conditions to the vesting of the Restricted Stock Unit Award as it, in its sole discretion, deems appropriate.</w:t>
      </w:r>
    </w:p>
    <w:p>
      <w:pPr>
        <w:spacing w:after="0" w:line="115" w:lineRule="exact"/>
        <w:rPr>
          <w:rFonts w:ascii="Arial" w:cs="Arial" w:eastAsia="Arial" w:hAnsi="Arial"/>
          <w:sz w:val="16"/>
          <w:szCs w:val="16"/>
          <w:b w:val="1"/>
          <w:bCs w:val="1"/>
          <w:color w:val="auto"/>
        </w:rPr>
      </w:pPr>
    </w:p>
    <w:p>
      <w:pPr>
        <w:ind w:left="-460" w:right="240" w:firstLine="1304"/>
        <w:spacing w:after="0" w:line="266" w:lineRule="auto"/>
        <w:tabs>
          <w:tab w:leader="none" w:pos="1151"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A Restricted Stock Unit Award may be settled by the delivery of shares of Common Stock, their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any combination thereof or in any other form of consideration, as determined by the Administrator and contained in the Restricted Stock Unit Award Agreement.</w:t>
      </w:r>
    </w:p>
    <w:p>
      <w:pPr>
        <w:spacing w:after="0" w:line="175" w:lineRule="exact"/>
        <w:rPr>
          <w:rFonts w:ascii="Arial" w:cs="Arial" w:eastAsia="Arial" w:hAnsi="Arial"/>
          <w:sz w:val="18"/>
          <w:szCs w:val="18"/>
          <w:b w:val="1"/>
          <w:bCs w:val="1"/>
          <w:color w:val="auto"/>
        </w:rPr>
      </w:pPr>
    </w:p>
    <w:p>
      <w:pPr>
        <w:jc w:val="both"/>
        <w:ind w:left="-460" w:right="80" w:firstLine="1304"/>
        <w:spacing w:after="0" w:line="289" w:lineRule="auto"/>
        <w:tabs>
          <w:tab w:leader="none" w:pos="1141"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Restrictions</w:t>
      </w:r>
      <w:r>
        <w:rPr>
          <w:rFonts w:ascii="Arial" w:cs="Arial" w:eastAsia="Arial" w:hAnsi="Arial"/>
          <w:sz w:val="17"/>
          <w:szCs w:val="17"/>
          <w:color w:val="auto"/>
        </w:rPr>
        <w:t>. At the time of the grant of a Restricted Stock Unit Award, the Administrator, as it deems</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57" w:lineRule="exact"/>
        <w:rPr>
          <w:rFonts w:ascii="Arial" w:cs="Arial" w:eastAsia="Arial" w:hAnsi="Arial"/>
          <w:sz w:val="17"/>
          <w:szCs w:val="17"/>
          <w:b w:val="1"/>
          <w:bCs w:val="1"/>
          <w:color w:val="auto"/>
        </w:rPr>
      </w:pPr>
    </w:p>
    <w:p>
      <w:pPr>
        <w:ind w:left="-460" w:right="20" w:firstLine="1304"/>
        <w:spacing w:after="0" w:line="266" w:lineRule="auto"/>
        <w:tabs>
          <w:tab w:leader="none" w:pos="1091"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 Participant’s Continuous Service</w:t>
      </w:r>
      <w:r>
        <w:rPr>
          <w:rFonts w:ascii="Arial" w:cs="Arial" w:eastAsia="Arial" w:hAnsi="Arial"/>
          <w:sz w:val="18"/>
          <w:szCs w:val="18"/>
          <w:color w:val="auto"/>
        </w:rPr>
        <w:t>. Except as otherwise provided in the applicable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left="440" w:hanging="244"/>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60" w:right="20" w:firstLine="1304"/>
        <w:spacing w:after="0" w:line="291" w:lineRule="auto"/>
        <w:tabs>
          <w:tab w:leader="none" w:pos="105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Stock Awards</w:t>
      </w:r>
      <w:r>
        <w:rPr>
          <w:rFonts w:ascii="Arial" w:cs="Arial" w:eastAsia="Arial" w:hAnsi="Arial"/>
          <w:sz w:val="16"/>
          <w:szCs w:val="16"/>
          <w:color w:val="auto"/>
        </w:rPr>
        <w:t>. A Performance Stock Award is a Stock Award that may vest or may be 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spacing w:after="0" w:line="159" w:lineRule="exact"/>
        <w:rPr>
          <w:rFonts w:ascii="Arial" w:cs="Arial" w:eastAsia="Arial" w:hAnsi="Arial"/>
          <w:sz w:val="16"/>
          <w:szCs w:val="16"/>
          <w:b w:val="1"/>
          <w:bCs w:val="1"/>
          <w:color w:val="auto"/>
        </w:rPr>
      </w:pPr>
    </w:p>
    <w:p>
      <w:pPr>
        <w:ind w:left="-460" w:firstLine="1304"/>
        <w:spacing w:after="0" w:line="292" w:lineRule="auto"/>
        <w:tabs>
          <w:tab w:leader="none" w:pos="110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Cash Awards</w:t>
      </w:r>
      <w:r>
        <w:rPr>
          <w:rFonts w:ascii="Arial" w:cs="Arial" w:eastAsia="Arial" w:hAnsi="Arial"/>
          <w:sz w:val="16"/>
          <w:szCs w:val="16"/>
          <w:color w:val="auto"/>
        </w:rPr>
        <w:t>. A Performance Cash Award is a cash award that may be paid contingent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attainment during a Performance Period of certain 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specify the form of payment 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868045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5" w:name="page46"/>
    <w:bookmarkEnd w:id="45"/>
    <w:p>
      <w:pPr>
        <w:jc w:val="both"/>
        <w:ind w:left="-8" w:right="380" w:firstLine="1304"/>
        <w:spacing w:after="0" w:line="314" w:lineRule="auto"/>
        <w:tabs>
          <w:tab w:leader="none" w:pos="1603" w:val="left"/>
        </w:tabs>
        <w:numPr>
          <w:ilvl w:val="2"/>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Discretion</w:t>
      </w:r>
      <w:r>
        <w:rPr>
          <w:rFonts w:ascii="Arial" w:cs="Arial" w:eastAsia="Arial" w:hAnsi="Arial"/>
          <w:sz w:val="16"/>
          <w:szCs w:val="16"/>
          <w:color w:val="auto"/>
        </w:rPr>
        <w:t>. The Administrator shall have the right to reduce, eliminate or increase the amount that is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a Performance Stock Award or Performance Cash Award by taking into account additional factors that the Administrator may deem relevant, including the assessment of individual or corporate performance for the Performance Period.</w:t>
      </w:r>
    </w:p>
    <w:p>
      <w:pPr>
        <w:spacing w:after="0" w:line="141" w:lineRule="exact"/>
        <w:rPr>
          <w:rFonts w:ascii="Arial" w:cs="Arial" w:eastAsia="Arial" w:hAnsi="Arial"/>
          <w:sz w:val="16"/>
          <w:szCs w:val="16"/>
          <w:b w:val="1"/>
          <w:bCs w:val="1"/>
          <w:color w:val="auto"/>
        </w:rPr>
      </w:pPr>
    </w:p>
    <w:p>
      <w:pPr>
        <w:ind w:left="-8" w:right="200" w:firstLine="656"/>
        <w:spacing w:after="0" w:line="294" w:lineRule="auto"/>
        <w:tabs>
          <w:tab w:leader="none" w:pos="905"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the appreciation in value thereof may be granted either alone or in addition to Stock Awards provided for under Section 5 and the preceding provisions of this Section 6. Subject to the provisions of the Plan, the Administrator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which shall be set forth in Other Stock Award Agreements.</w:t>
      </w:r>
    </w:p>
    <w:p>
      <w:pPr>
        <w:spacing w:after="0" w:line="159" w:lineRule="exact"/>
        <w:rPr>
          <w:rFonts w:ascii="Arial" w:cs="Arial" w:eastAsia="Arial" w:hAnsi="Arial"/>
          <w:sz w:val="16"/>
          <w:szCs w:val="16"/>
          <w:b w:val="1"/>
          <w:bCs w:val="1"/>
          <w:color w:val="auto"/>
        </w:rPr>
      </w:pPr>
    </w:p>
    <w:p>
      <w:pPr>
        <w:ind w:left="-8" w:firstLine="656"/>
        <w:spacing w:after="0" w:line="254" w:lineRule="auto"/>
        <w:tabs>
          <w:tab w:leader="none" w:pos="885"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Dividend Equivalents</w:t>
      </w:r>
      <w:r>
        <w:rPr>
          <w:rFonts w:ascii="Arial" w:cs="Arial" w:eastAsia="Arial" w:hAnsi="Arial"/>
          <w:sz w:val="18"/>
          <w:szCs w:val="18"/>
          <w:color w:val="auto"/>
        </w:rPr>
        <w:t>. Dividends or dividend equivalents may be paid or credited, as applicable,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shares of Common Stock subject to a Stock Award (other than an Option or SAR), as determined by the Administrator and contained in the applicable Stock Award Agreement; provided, however, that (i) any dividends or dividend equivalents that are paid or credited with respect to any such shares shall be subject to all of the terms and conditions applicable to such shares under the terms of such Stock Award Agreement (including, without limitation, any vesting conditions), and (ii) any dividends or dividend equivalents that are paid or credited with respect to any such shares shall be subject to forfeiture to the Company on the date, if any, such shares are forfeited to or repurchased by the Company due to a failure to meet any vesting conditions under the terms of such Stock Award Agreement.</w:t>
      </w:r>
    </w:p>
    <w:p>
      <w:pPr>
        <w:spacing w:after="0" w:line="191" w:lineRule="exact"/>
        <w:rPr>
          <w:rFonts w:ascii="Arial" w:cs="Arial" w:eastAsia="Arial" w:hAnsi="Arial"/>
          <w:sz w:val="18"/>
          <w:szCs w:val="18"/>
          <w:b w:val="1"/>
          <w:bCs w:val="1"/>
          <w:color w:val="auto"/>
        </w:rPr>
      </w:pPr>
    </w:p>
    <w:p>
      <w:pPr>
        <w:ind w:left="172" w:hanging="172"/>
        <w:spacing w:after="0"/>
        <w:tabs>
          <w:tab w:leader="none" w:pos="17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100" w:firstLine="656"/>
        <w:spacing w:after="0" w:line="282" w:lineRule="auto"/>
        <w:tabs>
          <w:tab w:leader="none" w:pos="89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Stock Awards, the Company shall keep available at all times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reasonably required to satisfy such Stock Awards.</w:t>
      </w:r>
    </w:p>
    <w:p>
      <w:pPr>
        <w:spacing w:after="0" w:line="161" w:lineRule="exact"/>
        <w:rPr>
          <w:rFonts w:ascii="Arial" w:cs="Arial" w:eastAsia="Arial" w:hAnsi="Arial"/>
          <w:sz w:val="18"/>
          <w:szCs w:val="18"/>
          <w:b w:val="1"/>
          <w:bCs w:val="1"/>
          <w:color w:val="auto"/>
        </w:rPr>
      </w:pPr>
    </w:p>
    <w:p>
      <w:pPr>
        <w:ind w:left="-8" w:firstLine="656"/>
        <w:spacing w:after="0" w:line="271" w:lineRule="auto"/>
        <w:tabs>
          <w:tab w:leader="none" w:pos="905"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Securities Law Compliance</w:t>
      </w:r>
      <w:r>
        <w:rPr>
          <w:rFonts w:ascii="Arial" w:cs="Arial" w:eastAsia="Arial" w:hAnsi="Arial"/>
          <w:sz w:val="17"/>
          <w:szCs w:val="17"/>
          <w:color w:val="auto"/>
        </w:rPr>
        <w:t>. The Company shall seek to obtain from each regulatory commission or agency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73" w:lineRule="exact"/>
        <w:rPr>
          <w:rFonts w:ascii="Arial" w:cs="Arial" w:eastAsia="Arial" w:hAnsi="Arial"/>
          <w:sz w:val="17"/>
          <w:szCs w:val="17"/>
          <w:b w:val="1"/>
          <w:bCs w:val="1"/>
          <w:color w:val="auto"/>
        </w:rPr>
      </w:pPr>
    </w:p>
    <w:p>
      <w:pPr>
        <w:ind w:left="-8" w:right="160" w:firstLine="656"/>
        <w:spacing w:after="0" w:line="258" w:lineRule="auto"/>
        <w:tabs>
          <w:tab w:leader="none" w:pos="88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shall have no duty or obligation to any Participant to advise</w:t>
      </w:r>
      <w:r>
        <w:rPr>
          <w:rFonts w:ascii="Arial" w:cs="Arial" w:eastAsia="Arial" w:hAnsi="Arial"/>
          <w:sz w:val="18"/>
          <w:szCs w:val="18"/>
          <w:b w:val="1"/>
          <w:bCs w:val="1"/>
          <w:color w:val="auto"/>
        </w:rPr>
        <w:t xml:space="preserve"> </w:t>
      </w:r>
      <w:r>
        <w:rPr>
          <w:rFonts w:ascii="Arial" w:cs="Arial" w:eastAsia="Arial" w:hAnsi="Arial"/>
          <w:sz w:val="18"/>
          <w:szCs w:val="18"/>
          <w:color w:val="auto"/>
        </w:rPr>
        <w:t>such 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83" w:lineRule="exact"/>
        <w:rPr>
          <w:rFonts w:ascii="Arial" w:cs="Arial" w:eastAsia="Arial" w:hAnsi="Arial"/>
          <w:sz w:val="18"/>
          <w:szCs w:val="18"/>
          <w:b w:val="1"/>
          <w:bCs w:val="1"/>
          <w:color w:val="auto"/>
        </w:rPr>
      </w:pPr>
    </w:p>
    <w:p>
      <w:pPr>
        <w:ind w:left="172" w:hanging="172"/>
        <w:spacing w:after="0"/>
        <w:tabs>
          <w:tab w:leader="none" w:pos="17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400" w:firstLine="656"/>
        <w:spacing w:after="0" w:line="282" w:lineRule="auto"/>
        <w:tabs>
          <w:tab w:leader="none" w:pos="89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Awards shall constitute general funds of the Company.</w:t>
      </w:r>
    </w:p>
    <w:p>
      <w:pPr>
        <w:spacing w:after="0" w:line="161" w:lineRule="exact"/>
        <w:rPr>
          <w:rFonts w:ascii="Arial" w:cs="Arial" w:eastAsia="Arial" w:hAnsi="Arial"/>
          <w:sz w:val="18"/>
          <w:szCs w:val="18"/>
          <w:b w:val="1"/>
          <w:bCs w:val="1"/>
          <w:color w:val="auto"/>
        </w:rPr>
      </w:pPr>
    </w:p>
    <w:p>
      <w:pPr>
        <w:jc w:val="both"/>
        <w:ind w:left="-8" w:right="220" w:firstLine="656"/>
        <w:spacing w:after="0" w:line="261" w:lineRule="auto"/>
        <w:tabs>
          <w:tab w:leader="none" w:pos="90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Action Constituting the Grant of Stock Awards</w:t>
      </w:r>
      <w:r>
        <w:rPr>
          <w:rFonts w:ascii="Arial" w:cs="Arial" w:eastAsia="Arial" w:hAnsi="Arial"/>
          <w:sz w:val="18"/>
          <w:szCs w:val="18"/>
          <w:color w:val="auto"/>
        </w:rPr>
        <w:t>. Corporate action constituting a grant by the Company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to any Participant shall be deemed completed as of the date of such corporate action, unless otherwise determined by the Administrator, regardless of when the instrument, certificate, or letter evidencing the Stock Award is communicated to, or actually received or accepted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605790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121" w:right="1039" w:bottom="1440" w:gutter="0" w:footer="0" w:header="0"/>
        </w:sectPr>
      </w:pPr>
    </w:p>
    <w:bookmarkStart w:id="46" w:name="page47"/>
    <w:bookmarkEnd w:id="46"/>
    <w:p>
      <w:pPr>
        <w:jc w:val="both"/>
        <w:ind w:left="-460" w:right="60" w:firstLine="656"/>
        <w:spacing w:after="0" w:line="261" w:lineRule="auto"/>
        <w:tabs>
          <w:tab w:leader="none" w:pos="433"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No Participant shall be deemed to be the holder of, or to have any of the rights of a holder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shares of Common Stock subject to a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79" w:lineRule="exact"/>
        <w:rPr>
          <w:rFonts w:ascii="Arial" w:cs="Arial" w:eastAsia="Arial" w:hAnsi="Arial"/>
          <w:sz w:val="18"/>
          <w:szCs w:val="18"/>
          <w:b w:val="1"/>
          <w:bCs w:val="1"/>
          <w:color w:val="auto"/>
        </w:rPr>
      </w:pPr>
    </w:p>
    <w:p>
      <w:pPr>
        <w:ind w:left="-460" w:right="120" w:firstLine="656"/>
        <w:spacing w:after="0" w:line="255" w:lineRule="auto"/>
        <w:tabs>
          <w:tab w:leader="none" w:pos="453"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any Award Agreement or any other instrument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or in connection with any Award granted pursuant thereto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8" w:lineRule="exact"/>
        <w:rPr>
          <w:rFonts w:ascii="Arial" w:cs="Arial" w:eastAsia="Arial" w:hAnsi="Arial"/>
          <w:sz w:val="18"/>
          <w:szCs w:val="18"/>
          <w:b w:val="1"/>
          <w:bCs w:val="1"/>
          <w:color w:val="auto"/>
        </w:rPr>
      </w:pPr>
    </w:p>
    <w:p>
      <w:pPr>
        <w:ind w:left="-460" w:firstLine="656"/>
        <w:spacing w:after="0" w:line="287" w:lineRule="auto"/>
        <w:tabs>
          <w:tab w:leader="none" w:pos="43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Assurances</w:t>
      </w:r>
      <w:r>
        <w:rPr>
          <w:rFonts w:ascii="Arial" w:cs="Arial" w:eastAsia="Arial" w:hAnsi="Arial"/>
          <w:sz w:val="16"/>
          <w:szCs w:val="16"/>
          <w:color w:val="auto"/>
        </w:rPr>
        <w:t>. The Company may require a Participant, as a condition of exercising or acquiring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then-currently effective registration statement under the Securities Act or (B) as to any particular requirement, a determination is made by counsel for the Company that such requirement need not be met in the circumstances under the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3" w:lineRule="exact"/>
        <w:rPr>
          <w:rFonts w:ascii="Arial" w:cs="Arial" w:eastAsia="Arial" w:hAnsi="Arial"/>
          <w:sz w:val="16"/>
          <w:szCs w:val="16"/>
          <w:b w:val="1"/>
          <w:bCs w:val="1"/>
          <w:color w:val="auto"/>
        </w:rPr>
      </w:pPr>
    </w:p>
    <w:p>
      <w:pPr>
        <w:ind w:left="-460" w:right="80" w:firstLine="656"/>
        <w:spacing w:after="0" w:line="272" w:lineRule="auto"/>
        <w:tabs>
          <w:tab w:leader="none" w:pos="413"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Obligations</w:t>
      </w:r>
      <w:r>
        <w:rPr>
          <w:rFonts w:ascii="Arial" w:cs="Arial" w:eastAsia="Arial" w:hAnsi="Arial"/>
          <w:sz w:val="17"/>
          <w:szCs w:val="17"/>
          <w:color w:val="auto"/>
        </w:rPr>
        <w:t>. Unless prohibited by the terms of an Award Agreement, the Company may,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1" w:lineRule="exact"/>
        <w:rPr>
          <w:rFonts w:ascii="Arial" w:cs="Arial" w:eastAsia="Arial" w:hAnsi="Arial"/>
          <w:sz w:val="17"/>
          <w:szCs w:val="17"/>
          <w:b w:val="1"/>
          <w:bCs w:val="1"/>
          <w:color w:val="auto"/>
        </w:rPr>
      </w:pPr>
    </w:p>
    <w:p>
      <w:pPr>
        <w:ind w:left="-460" w:right="140" w:firstLine="656"/>
        <w:spacing w:after="0" w:line="347" w:lineRule="auto"/>
        <w:tabs>
          <w:tab w:leader="none" w:pos="44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shall include any agreement or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electronically, filed publicly at www.sec.gov (or any successor website thereto) or posted on the Company’s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839470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7" w:name="page48"/>
    <w:bookmarkEnd w:id="47"/>
    <w:p>
      <w:pPr>
        <w:ind w:left="460" w:hanging="264"/>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60" w:right="20" w:firstLine="1304"/>
        <w:spacing w:after="0" w:line="286" w:lineRule="auto"/>
        <w:tabs>
          <w:tab w:leader="none" w:pos="1051"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Company intends that all Awards shall be structured to comply with, or to be exempt from,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409A of the Code, such that no adverse tax consequences, interest or penalties under Section 409A of the Code shall apply. To the extent that the Administrator determines that any Award granted under the Plan is subject to Section 409A of the Code, the Award Agreement evidencing such Award shall be deemed to incorporate the terms and conditions necessary to avoid the consequences specified in Section 409A(a)(1) of the Code. To the extent applicable, the Plan and Award Agreements shall be interpreted in accordance with Section 409A of the Code. In addition and notwithstanding any provision to the contrary in the Plan or any Award Agreement,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of the Code or (B) comply with Section 409A of the Code. However, the Company makes no representations or warranties as to an Award’s tax treatment under Section 409A of the Code or otherwise, and the Company has no obligation under the Plan or otherwise to avoid the taxes, penalties or interest under Section 409A of the Code with respect to any Award and shall have no liability to any Participant or any other person if any Award, compensation or other benefit under the Plan is determined to constitute nonqualified deferred compensation subject to taxes, penalties or interest under Section 409A of the Code.</w:t>
      </w:r>
    </w:p>
    <w:p>
      <w:pPr>
        <w:spacing w:after="0" w:line="170" w:lineRule="exact"/>
        <w:rPr>
          <w:rFonts w:ascii="Arial" w:cs="Arial" w:eastAsia="Arial" w:hAnsi="Arial"/>
          <w:sz w:val="16"/>
          <w:szCs w:val="16"/>
          <w:b w:val="1"/>
          <w:bCs w:val="1"/>
          <w:color w:val="auto"/>
        </w:rPr>
      </w:pPr>
    </w:p>
    <w:p>
      <w:pPr>
        <w:ind w:left="-460" w:right="20" w:firstLine="1304"/>
        <w:spacing w:after="0" w:line="258" w:lineRule="auto"/>
        <w:tabs>
          <w:tab w:leader="none" w:pos="1101"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 Termination of Continuous Service</w:t>
      </w:r>
      <w:r>
        <w:rPr>
          <w:rFonts w:ascii="Arial" w:cs="Arial" w:eastAsia="Arial" w:hAnsi="Arial"/>
          <w:sz w:val="18"/>
          <w:szCs w:val="18"/>
          <w:color w:val="auto"/>
        </w:rPr>
        <w:t>. If an Award constitutes “nonqualified deferred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409A of the Code, any payment or settlement of such Award upon a termination of a Participant’s Continuous Service shall, to the extent necessary to avoid taxes under Section 409A of the Code, be made only upon the Participant’s “separation from service” within the meaning of Section 409A of the Code, whether such “separation from service” occurs upon or after the termination of the Participant’s Continuous Service.</w:t>
      </w:r>
    </w:p>
    <w:p>
      <w:pPr>
        <w:spacing w:after="0" w:line="183" w:lineRule="exact"/>
        <w:rPr>
          <w:rFonts w:ascii="Arial" w:cs="Arial" w:eastAsia="Arial" w:hAnsi="Arial"/>
          <w:sz w:val="18"/>
          <w:szCs w:val="18"/>
          <w:b w:val="1"/>
          <w:bCs w:val="1"/>
          <w:color w:val="auto"/>
        </w:rPr>
      </w:pPr>
    </w:p>
    <w:p>
      <w:pPr>
        <w:ind w:left="-460" w:firstLine="1304"/>
        <w:spacing w:after="0" w:line="255" w:lineRule="auto"/>
        <w:tabs>
          <w:tab w:leader="none" w:pos="1151"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Specified Employees</w:t>
      </w:r>
      <w:r>
        <w:rPr>
          <w:rFonts w:ascii="Arial" w:cs="Arial" w:eastAsia="Arial" w:hAnsi="Arial"/>
          <w:sz w:val="18"/>
          <w:szCs w:val="18"/>
          <w:color w:val="auto"/>
        </w:rPr>
        <w:t>. Notwithstanding any provision to the contrary in the Plan (and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specifically provides otherwise), if a Participant holding an Award that constitutes nonqualified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w:t>
      </w:r>
    </w:p>
    <w:p>
      <w:pPr>
        <w:spacing w:after="0" w:line="188" w:lineRule="exact"/>
        <w:rPr>
          <w:rFonts w:ascii="Arial" w:cs="Arial" w:eastAsia="Arial" w:hAnsi="Arial"/>
          <w:sz w:val="18"/>
          <w:szCs w:val="18"/>
          <w:b w:val="1"/>
          <w:bCs w:val="1"/>
          <w:color w:val="auto"/>
        </w:rPr>
      </w:pPr>
    </w:p>
    <w:p>
      <w:pPr>
        <w:ind w:left="-460" w:right="140" w:firstLine="1304"/>
        <w:spacing w:after="0" w:line="272" w:lineRule="auto"/>
        <w:tabs>
          <w:tab w:leader="none" w:pos="1141"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Deferrals</w:t>
      </w:r>
      <w:r>
        <w:rPr>
          <w:rFonts w:ascii="Arial" w:cs="Arial" w:eastAsia="Arial" w:hAnsi="Arial"/>
          <w:sz w:val="17"/>
          <w:szCs w:val="17"/>
          <w:color w:val="auto"/>
        </w:rPr>
        <w:t>. To the extent permitted by applicable law, the Administrator, in its sole discretion, may determine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of Common Stock or the payment of cash, upon the exercise, vesting or settlement of all or a portion of any Award may be deferred and may establish programs and procedures for deferral elections to be made by Participants. Deferrals by Participants shall be made in accordance with Section 409A of the Code. Consistent with Section 409A of the Code, the Administrator may provide for distributions while a Participant is still an Employee or otherwise providing services to the Company or an Affiliate. The Administrator is authorized to make deferrals of Awards and determine when, and in what annual percentages, a Participant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left="-460" w:right="140" w:firstLine="656"/>
        <w:spacing w:after="0" w:line="291" w:lineRule="auto"/>
        <w:tabs>
          <w:tab w:leader="none" w:pos="403"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Clawback Provisions</w:t>
      </w:r>
      <w:r>
        <w:rPr>
          <w:rFonts w:ascii="Arial" w:cs="Arial" w:eastAsia="Arial" w:hAnsi="Arial"/>
          <w:sz w:val="16"/>
          <w:szCs w:val="16"/>
          <w:color w:val="auto"/>
        </w:rPr>
        <w:t>. All Awards granted under the Plan shall be subject to recoupment in accordance with any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recovery or recoupment policy that Company may 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593090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8" w:name="page49"/>
    <w:bookmarkEnd w:id="48"/>
    <w:p>
      <w:pPr>
        <w:ind w:left="172" w:hanging="172"/>
        <w:spacing w:after="0"/>
        <w:tabs>
          <w:tab w:leader="none" w:pos="1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THE COMMON STOCK; OTHER CORPORATE EVENTS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180" w:firstLine="656"/>
        <w:spacing w:after="0" w:line="258" w:lineRule="auto"/>
        <w:tabs>
          <w:tab w:leader="none" w:pos="89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Administrator shall appropriately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proportionately adjust (i) the class(es) and maximum number of securities subject to the Plan pursuant to Section 3(a), (ii) the class(es) and maximum number of securities that may be awarded to any person pursuant to Section 4(f), and (iii) the class(es) and number of securities and price per share of stock subject to outstanding Stock Awards. The Administrator shall make such adjustments, and its determination shall be final, binding and conclusive.</w:t>
      </w:r>
    </w:p>
    <w:p>
      <w:pPr>
        <w:spacing w:after="0" w:line="183" w:lineRule="exact"/>
        <w:rPr>
          <w:rFonts w:ascii="Arial" w:cs="Arial" w:eastAsia="Arial" w:hAnsi="Arial"/>
          <w:sz w:val="18"/>
          <w:szCs w:val="18"/>
          <w:b w:val="1"/>
          <w:bCs w:val="1"/>
          <w:color w:val="auto"/>
        </w:rPr>
      </w:pPr>
    </w:p>
    <w:p>
      <w:pPr>
        <w:ind w:left="-8" w:firstLine="656"/>
        <w:spacing w:after="0" w:line="291" w:lineRule="auto"/>
        <w:tabs>
          <w:tab w:leader="none" w:pos="905"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applicable Stock Award Agreement, in the event of a</w:t>
      </w:r>
      <w:r>
        <w:rPr>
          <w:rFonts w:ascii="Arial" w:cs="Arial" w:eastAsia="Arial" w:hAnsi="Arial"/>
          <w:sz w:val="16"/>
          <w:szCs w:val="16"/>
          <w:b w:val="1"/>
          <w:bCs w:val="1"/>
          <w:color w:val="auto"/>
        </w:rPr>
        <w:t xml:space="preserve"> </w:t>
      </w:r>
      <w:r>
        <w:rPr>
          <w:rFonts w:ascii="Arial" w:cs="Arial" w:eastAsia="Arial" w:hAnsi="Arial"/>
          <w:sz w:val="16"/>
          <w:szCs w:val="16"/>
          <w:color w:val="auto"/>
        </w:rPr>
        <w:t>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59" w:lineRule="exact"/>
        <w:rPr>
          <w:rFonts w:ascii="Arial" w:cs="Arial" w:eastAsia="Arial" w:hAnsi="Arial"/>
          <w:sz w:val="16"/>
          <w:szCs w:val="16"/>
          <w:b w:val="1"/>
          <w:bCs w:val="1"/>
          <w:color w:val="auto"/>
        </w:rPr>
      </w:pPr>
    </w:p>
    <w:p>
      <w:pPr>
        <w:ind w:left="892" w:hanging="244"/>
        <w:spacing w:after="0"/>
        <w:tabs>
          <w:tab w:leader="none" w:pos="892"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8" w:firstLine="1304"/>
        <w:spacing w:after="0" w:line="285" w:lineRule="auto"/>
        <w:tabs>
          <w:tab w:leader="none" w:pos="1503" w:val="left"/>
        </w:tabs>
        <w:numPr>
          <w:ilvl w:val="2"/>
          <w:numId w:val="42"/>
        </w:numPr>
        <w:rPr>
          <w:rFonts w:ascii="Arial" w:cs="Arial" w:eastAsia="Arial" w:hAnsi="Arial"/>
          <w:sz w:val="16"/>
          <w:szCs w:val="16"/>
          <w:color w:val="auto"/>
        </w:rPr>
      </w:pPr>
      <w:r>
        <w:rPr>
          <w:rFonts w:ascii="Arial" w:cs="Arial" w:eastAsia="Arial" w:hAnsi="Arial"/>
          <w:sz w:val="16"/>
          <w:szCs w:val="16"/>
          <w:color w:val="auto"/>
        </w:rPr>
        <w:t>In the event of a Change in Control,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Arial" w:cs="Arial" w:eastAsia="Arial" w:hAnsi="Arial"/>
          <w:sz w:val="16"/>
          <w:szCs w:val="16"/>
          <w:u w:val="single" w:color="auto"/>
          <w:color w:val="auto"/>
        </w:rPr>
        <w:t>Acquiror</w:t>
      </w:r>
      <w:r>
        <w:rPr>
          <w:rFonts w:ascii="Arial" w:cs="Arial" w:eastAsia="Arial" w:hAnsi="Arial"/>
          <w:sz w:val="16"/>
          <w:szCs w:val="16"/>
          <w:color w:val="auto"/>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spacing w:after="0" w:line="171" w:lineRule="exact"/>
        <w:rPr>
          <w:rFonts w:ascii="Arial" w:cs="Arial" w:eastAsia="Arial" w:hAnsi="Arial"/>
          <w:sz w:val="16"/>
          <w:szCs w:val="16"/>
          <w:color w:val="auto"/>
        </w:rPr>
      </w:pPr>
    </w:p>
    <w:p>
      <w:pPr>
        <w:jc w:val="both"/>
        <w:ind w:left="-8" w:firstLine="1304"/>
        <w:spacing w:after="0" w:line="279" w:lineRule="auto"/>
        <w:tabs>
          <w:tab w:leader="none" w:pos="1553" w:val="left"/>
        </w:tabs>
        <w:numPr>
          <w:ilvl w:val="2"/>
          <w:numId w:val="42"/>
        </w:numPr>
        <w:rPr>
          <w:rFonts w:ascii="Arial" w:cs="Arial" w:eastAsia="Arial" w:hAnsi="Arial"/>
          <w:sz w:val="17"/>
          <w:szCs w:val="17"/>
          <w:color w:val="auto"/>
        </w:rPr>
      </w:pPr>
      <w:r>
        <w:rPr>
          <w:rFonts w:ascii="Arial" w:cs="Arial" w:eastAsia="Arial" w:hAnsi="Arial"/>
          <w:sz w:val="17"/>
          <w:szCs w:val="17"/>
          <w:color w:val="auto"/>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spacing w:after="0" w:line="171" w:lineRule="exact"/>
        <w:rPr>
          <w:rFonts w:ascii="Arial" w:cs="Arial" w:eastAsia="Arial" w:hAnsi="Arial"/>
          <w:sz w:val="17"/>
          <w:szCs w:val="17"/>
          <w:color w:val="auto"/>
        </w:rPr>
      </w:pPr>
    </w:p>
    <w:p>
      <w:pPr>
        <w:ind w:left="-8" w:right="140" w:firstLine="1304"/>
        <w:spacing w:after="0" w:line="301" w:lineRule="auto"/>
        <w:tabs>
          <w:tab w:leader="none" w:pos="1603" w:val="left"/>
        </w:tabs>
        <w:numPr>
          <w:ilvl w:val="2"/>
          <w:numId w:val="42"/>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with respect to an Award that constitutes “nonqualified deferred compensation” subject to the provisions of Section 409A of the Code, an event shall not be considered to be a Change in Control under the Plan unless such event is also a “change in ownership,” a “change in effective control” or a “change in the ownership of a substantial portion of the assets” of the Company, in each case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588645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21" w:right="1039" w:bottom="1440" w:gutter="0" w:footer="0" w:header="0"/>
        </w:sectPr>
      </w:pPr>
    </w:p>
    <w:bookmarkStart w:id="49" w:name="page50"/>
    <w:bookmarkEnd w:id="49"/>
    <w:p>
      <w:pPr>
        <w:ind w:left="280" w:hanging="272"/>
        <w:spacing w:after="0"/>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TERMINATION OR SUSPENSION OF THE PLAN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656"/>
        <w:spacing w:after="0" w:line="271" w:lineRule="auto"/>
        <w:tabs>
          <w:tab w:leader="none" w:pos="903"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of the Plan</w:t>
      </w:r>
      <w:r>
        <w:rPr>
          <w:rFonts w:ascii="Arial" w:cs="Arial" w:eastAsia="Arial" w:hAnsi="Arial"/>
          <w:sz w:val="17"/>
          <w:szCs w:val="17"/>
          <w:color w:val="auto"/>
        </w:rPr>
        <w:t>. The Board has the power and authority to amend any provision of the Plan at any time;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without the approval of the Company’s shareholders given within twelve months before or after any such Plan amendment, the Board shall not have the right or authority (i) to increase the aggregate number of shares of Common Stock (including upon the exercise of Incentive Stock Options) that may be issued under the Plan pursuant to Section 3(a), provided that an increase that is made pursuant to Section 9(a) in connection with a Capitalization Adjustment shall not require shareholder approval and may be made by the Board, (ii) to amend Section 4(e) relating to the repricing, cancellation and re-grant of Stock Awards, (iii) to amend the Plan in any respect that requires shareholder approval under the rules of The Nasdaq Stock Market LLC (or under the rules of any other national securities exchange on which the Common Stock may subsequently be traded), or (iv) to amend the Plan in any respect that requires shareholder approval under the Code or any other applicable law.</w:t>
      </w:r>
    </w:p>
    <w:p>
      <w:pPr>
        <w:spacing w:after="0" w:line="173" w:lineRule="exact"/>
        <w:rPr>
          <w:rFonts w:ascii="Arial" w:cs="Arial" w:eastAsia="Arial" w:hAnsi="Arial"/>
          <w:sz w:val="17"/>
          <w:szCs w:val="17"/>
          <w:b w:val="1"/>
          <w:bCs w:val="1"/>
          <w:color w:val="auto"/>
        </w:rPr>
      </w:pPr>
    </w:p>
    <w:p>
      <w:pPr>
        <w:ind w:right="180" w:firstLine="656"/>
        <w:spacing w:after="0" w:line="289" w:lineRule="auto"/>
        <w:tabs>
          <w:tab w:leader="none" w:pos="913"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or Suspension of the Plan</w:t>
      </w:r>
      <w:r>
        <w:rPr>
          <w:rFonts w:ascii="Arial" w:cs="Arial" w:eastAsia="Arial" w:hAnsi="Arial"/>
          <w:sz w:val="17"/>
          <w:szCs w:val="17"/>
          <w:color w:val="auto"/>
        </w:rPr>
        <w:t>. The Board may suspend or terminate the Plan at any time. Unless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sooner by the Board, the Plan shall automatically terminate on the fifth anniversary of the date that the Plan was adopted by the Board. No Awards may be granted under the Plan while the Plan is suspended or after it is terminated.</w:t>
      </w:r>
    </w:p>
    <w:p>
      <w:pPr>
        <w:spacing w:after="0" w:line="157" w:lineRule="exact"/>
        <w:rPr>
          <w:rFonts w:ascii="Arial" w:cs="Arial" w:eastAsia="Arial" w:hAnsi="Arial"/>
          <w:sz w:val="17"/>
          <w:szCs w:val="17"/>
          <w:b w:val="1"/>
          <w:bCs w:val="1"/>
          <w:color w:val="auto"/>
        </w:rPr>
      </w:pPr>
    </w:p>
    <w:p>
      <w:pPr>
        <w:ind w:right="200" w:firstLine="656"/>
        <w:spacing w:after="0" w:line="314" w:lineRule="auto"/>
        <w:tabs>
          <w:tab w:leader="none" w:pos="893"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No Impairment of Rights upon the Plan’s Amendment, Suspension or Termination</w:t>
      </w:r>
      <w:r>
        <w:rPr>
          <w:rFonts w:ascii="Arial" w:cs="Arial" w:eastAsia="Arial" w:hAnsi="Arial"/>
          <w:sz w:val="16"/>
          <w:szCs w:val="16"/>
          <w:color w:val="auto"/>
        </w:rPr>
        <w:t>. Unless otherwise provided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Award Agreement, the amendment, suspension or termination of the Plan shall not impair rights and obligations under any Award that is granted prior to such amendment, suspension or termination, except with the written consent of the affected Participant.</w:t>
      </w:r>
    </w:p>
    <w:p>
      <w:pPr>
        <w:spacing w:after="0" w:line="141" w:lineRule="exact"/>
        <w:rPr>
          <w:rFonts w:ascii="Arial" w:cs="Arial" w:eastAsia="Arial" w:hAnsi="Arial"/>
          <w:sz w:val="16"/>
          <w:szCs w:val="16"/>
          <w:b w:val="1"/>
          <w:bCs w:val="1"/>
          <w:color w:val="auto"/>
        </w:rPr>
      </w:pPr>
    </w:p>
    <w:p>
      <w:pPr>
        <w:ind w:left="260" w:hanging="252"/>
        <w:spacing w:after="0"/>
        <w:tabs>
          <w:tab w:leader="none" w:pos="2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THE PLAN</w:t>
      </w:r>
      <w:r>
        <w:rPr>
          <w:rFonts w:ascii="Arial" w:cs="Arial" w:eastAsia="Arial" w:hAnsi="Arial"/>
          <w:sz w:val="18"/>
          <w:szCs w:val="18"/>
          <w:color w:val="auto"/>
        </w:rPr>
        <w:t>.</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Plan shall become effective on the Effective Date. The Plan shall be submitted for the approval of the Company’s shareholders at the 2021 annual meeting of shareholders. Awards may be granted prior to such shareholder approval, provided that such Awards shall not be exercisable, shall not vest, the restrictions thereon shall not lapse and no shares of Common Stock shall be issued pursuant to such Awards prior to the date that the Plan is approved by the Company’s shareholders. If such shareholder approval is not obtained at the 2021 annual meeting of shareholders, all Awards previously granted under the Plan shall be cancelled and become null and void.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CHOICE OF LAW</w:t>
      </w:r>
      <w:r>
        <w:rPr>
          <w:rFonts w:ascii="Arial" w:cs="Arial" w:eastAsia="Arial" w:hAnsi="Arial"/>
          <w:sz w:val="18"/>
          <w:szCs w:val="18"/>
          <w:color w:val="auto"/>
        </w:rPr>
        <w: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the Plan, without regard to that state’s conflict of laws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shall apply to the capitalized terms indicated below:</w:t>
      </w:r>
    </w:p>
    <w:p>
      <w:pPr>
        <w:spacing w:after="0" w:line="225"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set forth in Section 9(c)(i).</w:t>
      </w:r>
    </w:p>
    <w:p>
      <w:pPr>
        <w:spacing w:after="0" w:line="225" w:lineRule="exact"/>
        <w:rPr>
          <w:rFonts w:ascii="Arial" w:cs="Arial" w:eastAsia="Arial" w:hAnsi="Arial"/>
          <w:sz w:val="18"/>
          <w:szCs w:val="18"/>
          <w:color w:val="auto"/>
        </w:rPr>
      </w:pPr>
    </w:p>
    <w:p>
      <w:pPr>
        <w:ind w:right="120"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 Committee to the extent that the Board’s power or authority under the Plan has been delegated to such Committee.</w:t>
      </w:r>
    </w:p>
    <w:p>
      <w:pPr>
        <w:spacing w:after="0" w:line="170" w:lineRule="exact"/>
        <w:rPr>
          <w:rFonts w:ascii="Arial" w:cs="Arial" w:eastAsia="Arial" w:hAnsi="Arial"/>
          <w:sz w:val="18"/>
          <w:szCs w:val="18"/>
          <w:color w:val="auto"/>
        </w:rPr>
      </w:pPr>
    </w:p>
    <w:p>
      <w:pPr>
        <w:ind w:right="220" w:firstLine="656"/>
        <w:spacing w:after="0" w:line="263"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Administrator shall have the authority to determine the time or times at which “parent” or “subsidiary” status is determined within the foregoing definition.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Stock Award or a Performance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0" w:name="page51"/>
    <w:bookmarkEnd w:id="50"/>
    <w:p>
      <w:pPr>
        <w:ind w:left="-460" w:firstLine="656"/>
        <w:spacing w:after="0" w:line="277" w:lineRule="auto"/>
        <w:tabs>
          <w:tab w:leader="none" w:pos="4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 written agreement between the Company and a Participant evidencing the terms and conditions of an Award.</w:t>
      </w:r>
    </w:p>
    <w:p>
      <w:pPr>
        <w:spacing w:after="0" w:line="170" w:lineRule="exact"/>
        <w:rPr>
          <w:rFonts w:ascii="Arial" w:cs="Arial" w:eastAsia="Arial" w:hAnsi="Arial"/>
          <w:sz w:val="18"/>
          <w:szCs w:val="18"/>
          <w:color w:val="auto"/>
        </w:rPr>
      </w:pPr>
    </w:p>
    <w:p>
      <w:pPr>
        <w:ind w:left="420" w:hanging="224"/>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460" w:right="120" w:firstLine="656"/>
        <w:spacing w:after="0" w:line="291" w:lineRule="auto"/>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reorganization, recapitalization, reincorporation, stock dividend, dividend in property other than cash, large nonrecurring cash dividend, stock split, reverse stock split, spin-off, split-off, liquidating dividend, combination of shares, exchange of shares, change in corporate structure or any similar equity restructuring transaction, as that term is used in Statement of Financial Accounting Standards Board Accounting Standards Codification Topic 718 (or any amendment or successor to such standard). Notwithstanding the foregoing, the conversion of any convertible securities of the Company shall not be treated as a Capitalization Adjustment.</w:t>
      </w:r>
    </w:p>
    <w:p>
      <w:pPr>
        <w:spacing w:after="0" w:line="166" w:lineRule="exact"/>
        <w:rPr>
          <w:rFonts w:ascii="Arial" w:cs="Arial" w:eastAsia="Arial" w:hAnsi="Arial"/>
          <w:sz w:val="16"/>
          <w:szCs w:val="16"/>
          <w:color w:val="auto"/>
        </w:rPr>
      </w:pPr>
    </w:p>
    <w:p>
      <w:pPr>
        <w:ind w:left="-460" w:right="40" w:firstLine="656"/>
        <w:spacing w:after="0" w:line="270" w:lineRule="auto"/>
        <w:tabs>
          <w:tab w:leader="none" w:pos="4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(i) the Participant’s commission of an act of fraud, embezzlement or dishonesty that has a material adverse impact on the Company or an Affiliate; (ii) the Participant’s conviction of, or plea of “guilty” or “no contest” to, a felony; (iii) the Participant’s unauthorized use or disclosure of confidential information or trade secrets of the Company or an Affiliate that has a material adverse impact on such entity; or (iv) the Participant’s intentional misconduct that has a material adverse impact on the Company or an Affiliate.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80" w:lineRule="exact"/>
        <w:rPr>
          <w:rFonts w:ascii="Arial" w:cs="Arial" w:eastAsia="Arial" w:hAnsi="Arial"/>
          <w:sz w:val="17"/>
          <w:szCs w:val="17"/>
          <w:color w:val="auto"/>
        </w:rPr>
      </w:pPr>
    </w:p>
    <w:p>
      <w:pPr>
        <w:ind w:left="-460" w:right="20" w:firstLine="656"/>
        <w:spacing w:after="0" w:line="277" w:lineRule="auto"/>
        <w:tabs>
          <w:tab w:leader="none" w:pos="4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70" w:lineRule="exact"/>
        <w:rPr>
          <w:rFonts w:ascii="Arial" w:cs="Arial" w:eastAsia="Arial" w:hAnsi="Arial"/>
          <w:sz w:val="18"/>
          <w:szCs w:val="18"/>
          <w:color w:val="auto"/>
        </w:rPr>
      </w:pPr>
    </w:p>
    <w:p>
      <w:pPr>
        <w:ind w:left="-460" w:right="20" w:firstLine="1304"/>
        <w:spacing w:after="0" w:line="268" w:lineRule="auto"/>
        <w:tabs>
          <w:tab w:leader="none" w:pos="105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7"/>
          <w:szCs w:val="17"/>
          <w:u w:val="single" w:color="auto"/>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spacing w:after="0" w:line="186" w:lineRule="exact"/>
        <w:rPr>
          <w:rFonts w:ascii="Arial" w:cs="Arial" w:eastAsia="Arial" w:hAnsi="Arial"/>
          <w:sz w:val="17"/>
          <w:szCs w:val="17"/>
          <w:color w:val="auto"/>
        </w:rPr>
      </w:pPr>
    </w:p>
    <w:p>
      <w:pPr>
        <w:ind w:left="-460" w:right="20" w:firstLine="1304"/>
        <w:spacing w:after="0" w:line="254" w:lineRule="auto"/>
        <w:tabs>
          <w:tab w:leader="none" w:pos="110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612775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51" w:name="page52"/>
    <w:bookmarkEnd w:id="51"/>
    <w:p>
      <w:pPr>
        <w:ind w:right="140" w:firstLine="1304"/>
        <w:spacing w:after="0" w:line="296" w:lineRule="auto"/>
        <w:tabs>
          <w:tab w:leader="none" w:pos="161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61" w:lineRule="exact"/>
        <w:rPr>
          <w:rFonts w:ascii="Arial" w:cs="Arial" w:eastAsia="Arial" w:hAnsi="Arial"/>
          <w:sz w:val="16"/>
          <w:szCs w:val="16"/>
          <w:color w:val="auto"/>
        </w:rPr>
      </w:pPr>
    </w:p>
    <w:p>
      <w:pPr>
        <w:ind w:right="40" w:firstLine="1304"/>
        <w:spacing w:after="0" w:line="275" w:lineRule="auto"/>
        <w:tabs>
          <w:tab w:leader="none" w:pos="160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Individuals who, at the beginning of any twelve-month period following the Effective Date of the Plan, are members of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to constitute at least a majority of the 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Notwithstanding the foregoing or any other provision of the Plan, (i) the term Change in Control shall not include a sale of assets, merger or other transaction effected exclusively for the purpose of changing the domicile of the Company; and (ii) the definition of Change in Control (or any analogous term) in a written employment agreement between the Company or any Affiliate and the Participant shall supersede the foregoing definition with respect to Awards subject to such agreement; provided, however, that if no definition of Change in Control or any analogous term is set forth in such an employment agreement, the foregoing definition shall apply.</w:t>
      </w:r>
    </w:p>
    <w:p>
      <w:pPr>
        <w:spacing w:after="0" w:line="161" w:lineRule="exact"/>
        <w:rPr>
          <w:sz w:val="20"/>
          <w:szCs w:val="20"/>
          <w:color w:val="auto"/>
        </w:rPr>
      </w:pPr>
    </w:p>
    <w:p>
      <w:pPr>
        <w:ind w:right="260" w:firstLine="656"/>
        <w:spacing w:after="0" w:line="259" w:lineRule="auto"/>
        <w:tabs>
          <w:tab w:leader="none" w:pos="8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86" w:lineRule="exact"/>
        <w:rPr>
          <w:rFonts w:ascii="Arial" w:cs="Arial" w:eastAsia="Arial" w:hAnsi="Arial"/>
          <w:sz w:val="18"/>
          <w:szCs w:val="18"/>
          <w:color w:val="auto"/>
        </w:rPr>
      </w:pPr>
    </w:p>
    <w:p>
      <w:pPr>
        <w:ind w:right="820" w:firstLine="656"/>
        <w:spacing w:after="0" w:line="277" w:lineRule="auto"/>
        <w:tabs>
          <w:tab w:leader="none" w:pos="9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two or more Directors to whom authority has been delegated by the Board in accordance with Section 2(c).</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m) “</w:t>
      </w:r>
      <w:r>
        <w:rPr>
          <w:rFonts w:ascii="Arial" w:cs="Arial" w:eastAsia="Arial" w:hAnsi="Arial"/>
          <w:sz w:val="18"/>
          <w:szCs w:val="18"/>
          <w:u w:val="single" w:color="auto"/>
          <w:color w:val="auto"/>
        </w:rPr>
        <w:t>Company</w:t>
      </w:r>
      <w:r>
        <w:rPr>
          <w:rFonts w:ascii="Arial" w:cs="Arial" w:eastAsia="Arial" w:hAnsi="Arial"/>
          <w:sz w:val="18"/>
          <w:szCs w:val="18"/>
          <w:color w:val="auto"/>
        </w:rPr>
        <w:t>” means Calavo Growers, Inc., a California corporation.</w:t>
      </w:r>
    </w:p>
    <w:p>
      <w:pPr>
        <w:spacing w:after="0" w:line="225" w:lineRule="exact"/>
        <w:rPr>
          <w:sz w:val="20"/>
          <w:szCs w:val="20"/>
          <w:color w:val="auto"/>
        </w:rPr>
      </w:pPr>
    </w:p>
    <w:p>
      <w:pPr>
        <w:ind w:firstLine="656"/>
        <w:spacing w:after="0" w:line="257"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individual, including an advisor, who is engaged by the Company or an Affiliate to render bona fide consulting or advisory services to the Company or an Affiliate, provided that such services are not in connection with the offer or sale of the Company’s securities in a capital-raising transaction and that such services do not directly or indirectly promote or maintain a market for the Company’s securities. Service solely as a Director, or payment of a fee for such service, shall not cause a Director to be considered a “Consultant” for purposes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2" w:name="page53"/>
    <w:bookmarkEnd w:id="52"/>
    <w:p>
      <w:pPr>
        <w:ind w:right="20" w:firstLine="656"/>
        <w:spacing w:after="0" w:line="268" w:lineRule="auto"/>
        <w:tabs>
          <w:tab w:leader="none" w:pos="903"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provided, however, if the Entity for which a Participant is rendering services ceases to qualify as an Affiliate, as determined by the Administrator, in its sole discretion, such Participant’s Continuous Service shall be considered to have terminated on the date such Entity ceases to qualify as an Affiliate. To the extent permitted by law, the Administrator or the Chief Executive Officer of the Company, in that party’s sole discretion, may determine whether Continuous Service shall be considered interrupted in the case of (i) any leave of absence approved by the Administrator or Chief Executive Officer, including sick leave, military leave or any other personal leave or (ii) transfers between the Company, an Affiliate, or their successors. Notwithstanding the foregoing, a leave of absence shall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8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firstLine="656"/>
        <w:spacing w:after="0" w:line="257"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months, as provided in Sections 22(e)(3) and 409A(a)(2)(C)(i) of the Code, and shall be determined by the Administrator on the basis of such medical evidence as the Administrator deems warranted under the circumstances.</w:t>
      </w:r>
    </w:p>
    <w:p>
      <w:pPr>
        <w:spacing w:after="0" w:line="187" w:lineRule="exact"/>
        <w:rPr>
          <w:rFonts w:ascii="Arial" w:cs="Arial" w:eastAsia="Arial" w:hAnsi="Arial"/>
          <w:sz w:val="18"/>
          <w:szCs w:val="18"/>
          <w:color w:val="auto"/>
        </w:rPr>
      </w:pPr>
    </w:p>
    <w:p>
      <w:pPr>
        <w:ind w:right="20" w:firstLine="656"/>
        <w:spacing w:after="0" w:line="263" w:lineRule="auto"/>
        <w:tabs>
          <w:tab w:leader="none" w:pos="8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of the Plan, which is December 9, 2020 and which is the date on which the Board approved and adopted the Plan; provided, however, that the Plan is subject to approval by the Company’s shareholders at the 2021 annual meeting of shareholders.</w:t>
      </w:r>
    </w:p>
    <w:p>
      <w:pPr>
        <w:spacing w:after="0" w:line="183" w:lineRule="exact"/>
        <w:rPr>
          <w:rFonts w:ascii="Arial" w:cs="Arial" w:eastAsia="Arial" w:hAnsi="Arial"/>
          <w:sz w:val="18"/>
          <w:szCs w:val="18"/>
          <w:color w:val="auto"/>
        </w:rPr>
      </w:pPr>
    </w:p>
    <w:p>
      <w:pPr>
        <w:ind w:right="80" w:firstLine="656"/>
        <w:spacing w:after="0" w:line="277" w:lineRule="auto"/>
        <w:tabs>
          <w:tab w:leader="none" w:pos="8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right="80" w:firstLine="656"/>
        <w:spacing w:after="0" w:line="273" w:lineRule="auto"/>
        <w:tabs>
          <w:tab w:leader="none" w:pos="903"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 Person</w:t>
      </w:r>
      <w:r>
        <w:rPr>
          <w:rFonts w:ascii="Arial" w:cs="Arial" w:eastAsia="Arial" w:hAnsi="Arial"/>
          <w:sz w:val="17"/>
          <w:szCs w:val="17"/>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ind w:left="960" w:hanging="30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color w:val="auto"/>
        </w:rPr>
      </w:pPr>
    </w:p>
    <w:p>
      <w:pPr>
        <w:ind w:right="20" w:firstLine="1304"/>
        <w:spacing w:after="0" w:line="259" w:lineRule="auto"/>
        <w:tabs>
          <w:tab w:leader="none" w:pos="15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shall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3" w:name="page54"/>
    <w:bookmarkEnd w:id="53"/>
    <w:p>
      <w:pPr>
        <w:ind w:left="-460" w:firstLine="1304"/>
        <w:spacing w:after="0" w:line="263" w:lineRule="auto"/>
        <w:tabs>
          <w:tab w:leader="none" w:pos="1101"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otherwise provided by the Administrator, if there is no closing sales price for the Common Stock on the date of determination, then the Fair Market Value shall be the closing selling price on the last preceding date for which such quotation exists; and</w:t>
      </w:r>
    </w:p>
    <w:p>
      <w:pPr>
        <w:spacing w:after="0" w:line="183" w:lineRule="exact"/>
        <w:rPr>
          <w:rFonts w:ascii="Arial" w:cs="Arial" w:eastAsia="Arial" w:hAnsi="Arial"/>
          <w:sz w:val="18"/>
          <w:szCs w:val="18"/>
          <w:color w:val="auto"/>
        </w:rPr>
      </w:pPr>
    </w:p>
    <w:p>
      <w:pPr>
        <w:ind w:left="-460" w:right="780" w:firstLine="1304"/>
        <w:spacing w:after="0" w:line="308" w:lineRule="auto"/>
        <w:tabs>
          <w:tab w:leader="none" w:pos="1151"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 the absence of such markets for the Common Stock, the Fair Market Value shall be determined by the Administrator in good faith and in a manner that complies with Sections 409A and 422 of the Code.</w:t>
      </w:r>
    </w:p>
    <w:p>
      <w:pPr>
        <w:spacing w:after="0" w:line="146" w:lineRule="exact"/>
        <w:rPr>
          <w:rFonts w:ascii="Arial" w:cs="Arial" w:eastAsia="Arial" w:hAnsi="Arial"/>
          <w:sz w:val="17"/>
          <w:szCs w:val="17"/>
          <w:color w:val="auto"/>
        </w:rPr>
      </w:pPr>
    </w:p>
    <w:p>
      <w:pPr>
        <w:ind w:left="460" w:hanging="26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Value Award</w:t>
      </w:r>
      <w:r>
        <w:rPr>
          <w:rFonts w:ascii="Arial" w:cs="Arial" w:eastAsia="Arial" w:hAnsi="Arial"/>
          <w:sz w:val="18"/>
          <w:szCs w:val="18"/>
          <w:color w:val="auto"/>
        </w:rPr>
        <w:t>” has the meaning set forth in Section 3(b)(i).</w:t>
      </w:r>
    </w:p>
    <w:p>
      <w:pPr>
        <w:spacing w:after="0" w:line="225" w:lineRule="exact"/>
        <w:rPr>
          <w:rFonts w:ascii="Arial" w:cs="Arial" w:eastAsia="Arial" w:hAnsi="Arial"/>
          <w:sz w:val="18"/>
          <w:szCs w:val="18"/>
          <w:color w:val="auto"/>
        </w:rPr>
      </w:pPr>
    </w:p>
    <w:p>
      <w:pPr>
        <w:ind w:left="-460" w:right="160" w:firstLine="656"/>
        <w:spacing w:after="0" w:line="277" w:lineRule="auto"/>
        <w:tabs>
          <w:tab w:leader="none" w:pos="4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granted pursuant to Section 5 of the Plan that is intended to be, and qualifies as, an “incentive stock option” within the meaning of Section 422 of the Code.</w:t>
      </w:r>
    </w:p>
    <w:p>
      <w:pPr>
        <w:spacing w:after="0" w:line="170" w:lineRule="exact"/>
        <w:rPr>
          <w:rFonts w:ascii="Arial" w:cs="Arial" w:eastAsia="Arial" w:hAnsi="Arial"/>
          <w:sz w:val="18"/>
          <w:szCs w:val="18"/>
          <w:color w:val="auto"/>
        </w:rPr>
      </w:pPr>
    </w:p>
    <w:p>
      <w:pPr>
        <w:ind w:left="440" w:hanging="24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Board</w:t>
      </w:r>
      <w:r>
        <w:rPr>
          <w:rFonts w:ascii="Arial" w:cs="Arial" w:eastAsia="Arial" w:hAnsi="Arial"/>
          <w:sz w:val="18"/>
          <w:szCs w:val="18"/>
          <w:color w:val="auto"/>
        </w:rPr>
        <w:t>” has the meaning set forth in Section 13(i)(iv).</w:t>
      </w:r>
    </w:p>
    <w:p>
      <w:pPr>
        <w:spacing w:after="0" w:line="225" w:lineRule="exact"/>
        <w:rPr>
          <w:sz w:val="20"/>
          <w:szCs w:val="20"/>
          <w:color w:val="auto"/>
        </w:rPr>
      </w:pPr>
    </w:p>
    <w:p>
      <w:pPr>
        <w:ind w:left="520" w:hanging="324"/>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not an Employee.</w:t>
      </w:r>
    </w:p>
    <w:p>
      <w:pPr>
        <w:spacing w:after="0" w:line="225" w:lineRule="exact"/>
        <w:rPr>
          <w:rFonts w:ascii="Arial" w:cs="Arial" w:eastAsia="Arial" w:hAnsi="Arial"/>
          <w:sz w:val="18"/>
          <w:szCs w:val="18"/>
          <w:color w:val="auto"/>
        </w:rPr>
      </w:pPr>
    </w:p>
    <w:p>
      <w:pPr>
        <w:ind w:left="-460" w:right="580" w:firstLine="656"/>
        <w:spacing w:after="0" w:line="277" w:lineRule="auto"/>
        <w:tabs>
          <w:tab w:leader="none" w:pos="5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any option granted pursuant to Section 5 of the Plan that does not qualify as an Incentive Stock Option.</w:t>
      </w:r>
    </w:p>
    <w:p>
      <w:pPr>
        <w:spacing w:after="0" w:line="170" w:lineRule="exact"/>
        <w:rPr>
          <w:rFonts w:ascii="Arial" w:cs="Arial" w:eastAsia="Arial" w:hAnsi="Arial"/>
          <w:sz w:val="18"/>
          <w:szCs w:val="18"/>
          <w:color w:val="auto"/>
        </w:rPr>
      </w:pPr>
    </w:p>
    <w:p>
      <w:pPr>
        <w:ind w:left="520" w:hanging="324"/>
        <w:spacing w:after="0"/>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within the meaning of Section 16 of the Exchange Act.</w:t>
      </w:r>
    </w:p>
    <w:p>
      <w:pPr>
        <w:spacing w:after="0" w:line="236" w:lineRule="exact"/>
        <w:rPr>
          <w:rFonts w:ascii="Arial" w:cs="Arial" w:eastAsia="Arial" w:hAnsi="Arial"/>
          <w:sz w:val="17"/>
          <w:szCs w:val="17"/>
          <w:color w:val="auto"/>
        </w:rPr>
      </w:pPr>
    </w:p>
    <w:p>
      <w:pPr>
        <w:ind w:left="-460" w:right="180" w:firstLine="656"/>
        <w:spacing w:after="0" w:line="277" w:lineRule="auto"/>
        <w:tabs>
          <w:tab w:leader="none" w:pos="5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Incentive Stock Option or a Nonstatutory Stock Option to purchase shares of Common Stock granted pursuant to the Plan.</w:t>
      </w:r>
    </w:p>
    <w:p>
      <w:pPr>
        <w:spacing w:after="0" w:line="170" w:lineRule="exact"/>
        <w:rPr>
          <w:rFonts w:ascii="Arial" w:cs="Arial" w:eastAsia="Arial" w:hAnsi="Arial"/>
          <w:sz w:val="18"/>
          <w:szCs w:val="18"/>
          <w:color w:val="auto"/>
        </w:rPr>
      </w:pPr>
    </w:p>
    <w:p>
      <w:pPr>
        <w:ind w:left="-460" w:right="420" w:firstLine="656"/>
        <w:spacing w:after="0" w:line="308" w:lineRule="auto"/>
        <w:tabs>
          <w:tab w:leader="none" w:pos="5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Agreement</w:t>
      </w:r>
      <w:r>
        <w:rPr>
          <w:rFonts w:ascii="Arial" w:cs="Arial" w:eastAsia="Arial" w:hAnsi="Arial"/>
          <w:sz w:val="17"/>
          <w:szCs w:val="17"/>
          <w:color w:val="auto"/>
        </w:rPr>
        <w:t>” means a written agreement between the Company and an Optionholder evidencing the terms and conditions of an Option grant. Each Option Agreement shall be subject to the terms and conditions of the Plan.</w:t>
      </w:r>
    </w:p>
    <w:p>
      <w:pPr>
        <w:spacing w:after="0" w:line="146" w:lineRule="exact"/>
        <w:rPr>
          <w:rFonts w:ascii="Arial" w:cs="Arial" w:eastAsia="Arial" w:hAnsi="Arial"/>
          <w:sz w:val="17"/>
          <w:szCs w:val="17"/>
          <w:color w:val="auto"/>
        </w:rPr>
      </w:pPr>
    </w:p>
    <w:p>
      <w:pPr>
        <w:ind w:left="-460" w:right="140" w:firstLine="656"/>
        <w:spacing w:after="0" w:line="277" w:lineRule="auto"/>
        <w:tabs>
          <w:tab w:leader="none" w:pos="4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color w:val="auto"/>
        </w:rPr>
      </w:pPr>
    </w:p>
    <w:p>
      <w:pPr>
        <w:ind w:left="-460" w:right="540" w:firstLine="656"/>
        <w:spacing w:after="0" w:line="277" w:lineRule="auto"/>
        <w:tabs>
          <w:tab w:leader="none" w:pos="5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6(d).</w:t>
      </w:r>
    </w:p>
    <w:p>
      <w:pPr>
        <w:spacing w:after="0" w:line="170" w:lineRule="exact"/>
        <w:rPr>
          <w:rFonts w:ascii="Arial" w:cs="Arial" w:eastAsia="Arial" w:hAnsi="Arial"/>
          <w:sz w:val="18"/>
          <w:szCs w:val="18"/>
          <w:color w:val="auto"/>
        </w:rPr>
      </w:pPr>
    </w:p>
    <w:p>
      <w:pPr>
        <w:ind w:left="-460" w:right="100" w:firstLine="656"/>
        <w:spacing w:after="0" w:line="263" w:lineRule="auto"/>
        <w:tabs>
          <w:tab w:leader="none" w:pos="5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 Award Agreement</w:t>
      </w:r>
      <w:r>
        <w:rPr>
          <w:rFonts w:ascii="Arial" w:cs="Arial" w:eastAsia="Arial" w:hAnsi="Arial"/>
          <w:sz w:val="18"/>
          <w:szCs w:val="18"/>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83" w:lineRule="exact"/>
        <w:rPr>
          <w:rFonts w:ascii="Arial" w:cs="Arial" w:eastAsia="Arial" w:hAnsi="Arial"/>
          <w:sz w:val="18"/>
          <w:szCs w:val="18"/>
          <w:color w:val="auto"/>
        </w:rPr>
      </w:pPr>
    </w:p>
    <w:p>
      <w:pPr>
        <w:jc w:val="both"/>
        <w:ind w:left="-460" w:right="160" w:firstLine="656"/>
        <w:spacing w:after="0" w:line="259" w:lineRule="auto"/>
        <w:tabs>
          <w:tab w:leader="none" w:pos="4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(i) a “non-employee director” within the meaning of Rule 16b-3 under the Exchange Act and (ii) an “independent director” under applicable rules of The Nasdaq Stock Market LLC (or under the rules of any other national securities exchange on which the Common Stock may subsequently be traded), including the independence rules of such stock exchange relating to compensation committee members.</w:t>
      </w:r>
    </w:p>
    <w:p>
      <w:pPr>
        <w:spacing w:after="0" w:line="186" w:lineRule="exact"/>
        <w:rPr>
          <w:rFonts w:ascii="Arial" w:cs="Arial" w:eastAsia="Arial" w:hAnsi="Arial"/>
          <w:sz w:val="18"/>
          <w:szCs w:val="18"/>
          <w:color w:val="auto"/>
        </w:rPr>
      </w:pPr>
    </w:p>
    <w:p>
      <w:pPr>
        <w:ind w:left="-460" w:right="320" w:firstLine="656"/>
        <w:spacing w:after="0" w:line="286" w:lineRule="auto"/>
        <w:tabs>
          <w:tab w:leader="none" w:pos="4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w:t>
      </w:r>
      <w:r>
        <w:rPr>
          <w:rFonts w:ascii="Arial" w:cs="Arial" w:eastAsia="Arial" w:hAnsi="Arial"/>
          <w:sz w:val="17"/>
          <w:szCs w:val="17"/>
          <w:color w:val="auto"/>
        </w:rPr>
        <w:t>,” “</w:t>
      </w:r>
      <w:r>
        <w:rPr>
          <w:rFonts w:ascii="Arial" w:cs="Arial" w:eastAsia="Arial" w:hAnsi="Arial"/>
          <w:sz w:val="17"/>
          <w:szCs w:val="17"/>
          <w:u w:val="single" w:color="auto"/>
          <w:color w:val="auto"/>
        </w:rPr>
        <w:t>Owned</w:t>
      </w:r>
      <w:r>
        <w:rPr>
          <w:rFonts w:ascii="Arial" w:cs="Arial" w:eastAsia="Arial" w:hAnsi="Arial"/>
          <w:sz w:val="17"/>
          <w:szCs w:val="17"/>
          <w:color w:val="auto"/>
        </w:rPr>
        <w:t>,” “</w:t>
      </w:r>
      <w:r>
        <w:rPr>
          <w:rFonts w:ascii="Arial" w:cs="Arial" w:eastAsia="Arial" w:hAnsi="Arial"/>
          <w:sz w:val="17"/>
          <w:szCs w:val="17"/>
          <w:u w:val="single" w:color="auto"/>
          <w:color w:val="auto"/>
        </w:rPr>
        <w:t>Owner</w:t>
      </w:r>
      <w:r>
        <w:rPr>
          <w:rFonts w:ascii="Arial" w:cs="Arial" w:eastAsia="Arial" w:hAnsi="Arial"/>
          <w:sz w:val="17"/>
          <w:szCs w:val="17"/>
          <w:color w:val="auto"/>
        </w:rPr>
        <w:t>,” “</w:t>
      </w:r>
      <w:r>
        <w:rPr>
          <w:rFonts w:ascii="Arial" w:cs="Arial" w:eastAsia="Arial" w:hAnsi="Arial"/>
          <w:sz w:val="17"/>
          <w:szCs w:val="17"/>
          <w:u w:val="single" w:color="auto"/>
          <w:color w:val="auto"/>
        </w:rPr>
        <w:t>Ownership</w:t>
      </w:r>
      <w:r>
        <w:rPr>
          <w:rFonts w:ascii="Arial" w:cs="Arial" w:eastAsia="Arial" w:hAnsi="Arial"/>
          <w:sz w:val="17"/>
          <w:szCs w:val="17"/>
          <w:color w:val="auto"/>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spacing w:after="0" w:line="165" w:lineRule="exact"/>
        <w:rPr>
          <w:rFonts w:ascii="Arial" w:cs="Arial" w:eastAsia="Arial" w:hAnsi="Arial"/>
          <w:sz w:val="17"/>
          <w:szCs w:val="17"/>
          <w:color w:val="auto"/>
        </w:rPr>
      </w:pPr>
    </w:p>
    <w:p>
      <w:pPr>
        <w:ind w:left="-460" w:right="280" w:firstLine="656"/>
        <w:spacing w:after="0" w:line="277" w:lineRule="auto"/>
        <w:tabs>
          <w:tab w:leader="none" w:pos="5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to whom an Award is granted pursuant to the Plan or, if applicable, such other person who holds an outstanding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597535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54" w:name="page55"/>
    <w:bookmarkEnd w:id="54"/>
    <w:p>
      <w:pPr>
        <w:ind w:left="920" w:hanging="264"/>
        <w:spacing w:after="0"/>
        <w:tabs>
          <w:tab w:leader="none" w:pos="9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Cash Award</w:t>
      </w:r>
      <w:r>
        <w:rPr>
          <w:rFonts w:ascii="Arial" w:cs="Arial" w:eastAsia="Arial" w:hAnsi="Arial"/>
          <w:sz w:val="17"/>
          <w:szCs w:val="17"/>
          <w:color w:val="auto"/>
        </w:rPr>
        <w:t>” means an award of cash granted pursuant to the terms and conditions of Section (6)(c)(ii).</w:t>
      </w:r>
    </w:p>
    <w:p>
      <w:pPr>
        <w:spacing w:after="0" w:line="236" w:lineRule="exact"/>
        <w:rPr>
          <w:rFonts w:ascii="Arial" w:cs="Arial" w:eastAsia="Arial" w:hAnsi="Arial"/>
          <w:sz w:val="17"/>
          <w:szCs w:val="17"/>
          <w:color w:val="auto"/>
        </w:rPr>
      </w:pPr>
    </w:p>
    <w:p>
      <w:pPr>
        <w:ind w:right="60" w:firstLine="656"/>
        <w:spacing w:after="0" w:line="284" w:lineRule="auto"/>
        <w:tabs>
          <w:tab w:leader="none" w:pos="1093"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means the one or more criteria that the Administrator shall select for purposes of establishing the Performance Goals for a Performance Period. The Performance Criteria that shall be used to establish such Performance Goals may be based on any one of, or combination of, the following as determined by the Administrator: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 (xii) pre-tax profit, operating profit or net operating profit; (xiii) operating cash flow; (xiv) sales or revenue targets;</w:t>
      </w:r>
    </w:p>
    <w:p>
      <w:pPr>
        <w:spacing w:after="0" w:line="2" w:lineRule="exact"/>
        <w:rPr>
          <w:rFonts w:ascii="Arial" w:cs="Arial" w:eastAsia="Arial" w:hAnsi="Arial"/>
          <w:sz w:val="16"/>
          <w:szCs w:val="16"/>
          <w:color w:val="auto"/>
        </w:rPr>
      </w:pPr>
    </w:p>
    <w:p>
      <w:pPr>
        <w:ind w:right="40" w:firstLine="8"/>
        <w:spacing w:after="0" w:line="269" w:lineRule="auto"/>
        <w:tabs>
          <w:tab w:leader="none" w:pos="3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 (xxvi) 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spacing w:after="0" w:line="180" w:lineRule="exact"/>
        <w:rPr>
          <w:rFonts w:ascii="Arial" w:cs="Arial" w:eastAsia="Arial" w:hAnsi="Arial"/>
          <w:sz w:val="17"/>
          <w:szCs w:val="17"/>
          <w:color w:val="auto"/>
        </w:rPr>
      </w:pPr>
    </w:p>
    <w:p>
      <w:pPr>
        <w:ind w:right="20" w:firstLine="656"/>
        <w:spacing w:after="0" w:line="283" w:lineRule="auto"/>
        <w:tabs>
          <w:tab w:leader="none" w:pos="9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for a Performance Period, the one or more goals established by the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 Goals; (C) to exclude the effects of changes to generally accepted accounting principles; (D) to exclude the effects of any statutory adjustments to corporate tax rates; (E) to exclude the effects of any “extraordinary items” as determined under generally accepted accounting principles;</w:t>
      </w:r>
    </w:p>
    <w:p>
      <w:pPr>
        <w:spacing w:after="0" w:line="4"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w:t>
      </w:r>
    </w:p>
    <w:p>
      <w:pPr>
        <w:spacing w:after="0" w:line="3"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(K) to exclude the effect of any other unusual, non-recurring gain or loss or other extraordinary item. In addition, the Administrator retains the sole 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92" w:lineRule="exact"/>
        <w:rPr>
          <w:rFonts w:ascii="Arial" w:cs="Arial" w:eastAsia="Arial" w:hAnsi="Arial"/>
          <w:sz w:val="16"/>
          <w:szCs w:val="16"/>
          <w:color w:val="auto"/>
        </w:rPr>
      </w:pPr>
    </w:p>
    <w:p>
      <w:pPr>
        <w:ind w:right="280" w:firstLine="656"/>
        <w:spacing w:after="0" w:line="259" w:lineRule="auto"/>
        <w:tabs>
          <w:tab w:leader="none" w:pos="9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selected by the Administrator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Administrator.</w:t>
      </w:r>
    </w:p>
    <w:p>
      <w:pPr>
        <w:spacing w:after="0" w:line="186" w:lineRule="exact"/>
        <w:rPr>
          <w:rFonts w:ascii="Arial" w:cs="Arial" w:eastAsia="Arial" w:hAnsi="Arial"/>
          <w:sz w:val="18"/>
          <w:szCs w:val="18"/>
          <w:color w:val="auto"/>
        </w:rPr>
      </w:pPr>
    </w:p>
    <w:p>
      <w:pPr>
        <w:ind w:left="1000" w:hanging="344"/>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Stock Award</w:t>
      </w:r>
      <w:r>
        <w:rPr>
          <w:rFonts w:ascii="Arial" w:cs="Arial" w:eastAsia="Arial" w:hAnsi="Arial"/>
          <w:sz w:val="18"/>
          <w:szCs w:val="18"/>
          <w:color w:val="auto"/>
        </w:rPr>
        <w:t>” means a Stock Award granted under the terms and conditions of Section 6(c)(i).</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Calavo Growers, Inc. 2020 Equity Incentive Plan, as it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5" w:name="page56"/>
    <w:bookmarkEnd w:id="55"/>
    <w:p>
      <w:pPr>
        <w:ind w:left="-460" w:right="680" w:firstLine="656"/>
        <w:spacing w:after="0" w:line="277" w:lineRule="auto"/>
        <w:tabs>
          <w:tab w:leader="none" w:pos="4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Award</w:t>
      </w:r>
      <w:r>
        <w:rPr>
          <w:rFonts w:ascii="Arial" w:cs="Arial" w:eastAsia="Arial" w:hAnsi="Arial"/>
          <w:sz w:val="18"/>
          <w:szCs w:val="18"/>
          <w:color w:val="auto"/>
        </w:rPr>
        <w:t>” means an award of shares of Common Stock which is granted pursuant to the terms and conditions of Section 6(a).</w:t>
      </w:r>
    </w:p>
    <w:p>
      <w:pPr>
        <w:spacing w:after="0" w:line="170" w:lineRule="exact"/>
        <w:rPr>
          <w:rFonts w:ascii="Arial" w:cs="Arial" w:eastAsia="Arial" w:hAnsi="Arial"/>
          <w:sz w:val="18"/>
          <w:szCs w:val="18"/>
          <w:color w:val="auto"/>
        </w:rPr>
      </w:pPr>
    </w:p>
    <w:p>
      <w:pPr>
        <w:jc w:val="both"/>
        <w:ind w:left="-460" w:right="40" w:firstLine="656"/>
        <w:spacing w:after="0" w:line="286" w:lineRule="auto"/>
        <w:tabs>
          <w:tab w:leader="none" w:pos="4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Award Agreement</w:t>
      </w:r>
      <w:r>
        <w:rPr>
          <w:rFonts w:ascii="Arial" w:cs="Arial" w:eastAsia="Arial" w:hAnsi="Arial"/>
          <w:sz w:val="17"/>
          <w:szCs w:val="17"/>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65" w:lineRule="exact"/>
        <w:rPr>
          <w:rFonts w:ascii="Arial" w:cs="Arial" w:eastAsia="Arial" w:hAnsi="Arial"/>
          <w:sz w:val="17"/>
          <w:szCs w:val="17"/>
          <w:color w:val="auto"/>
        </w:rPr>
      </w:pPr>
    </w:p>
    <w:p>
      <w:pPr>
        <w:ind w:left="-460" w:right="320" w:firstLine="656"/>
        <w:spacing w:after="0" w:line="277" w:lineRule="auto"/>
        <w:tabs>
          <w:tab w:leader="none" w:pos="4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Award</w:t>
      </w:r>
      <w:r>
        <w:rPr>
          <w:rFonts w:ascii="Arial" w:cs="Arial" w:eastAsia="Arial" w:hAnsi="Arial"/>
          <w:sz w:val="18"/>
          <w:szCs w:val="18"/>
          <w:color w:val="auto"/>
        </w:rPr>
        <w:t>” means a right to receive shares of Common Stock (and/or cash or other consideration of equal value) which is granted pursuant to the terms and conditions of Section 6(b).</w:t>
      </w:r>
    </w:p>
    <w:p>
      <w:pPr>
        <w:spacing w:after="0" w:line="170" w:lineRule="exact"/>
        <w:rPr>
          <w:rFonts w:ascii="Arial" w:cs="Arial" w:eastAsia="Arial" w:hAnsi="Arial"/>
          <w:sz w:val="18"/>
          <w:szCs w:val="18"/>
          <w:color w:val="auto"/>
        </w:rPr>
      </w:pPr>
    </w:p>
    <w:p>
      <w:pPr>
        <w:ind w:left="-460" w:right="100" w:firstLine="656"/>
        <w:spacing w:after="0" w:line="263" w:lineRule="auto"/>
        <w:tabs>
          <w:tab w:leader="none" w:pos="5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83" w:lineRule="exact"/>
        <w:rPr>
          <w:rFonts w:ascii="Arial" w:cs="Arial" w:eastAsia="Arial" w:hAnsi="Arial"/>
          <w:sz w:val="18"/>
          <w:szCs w:val="18"/>
          <w:color w:val="auto"/>
        </w:rPr>
      </w:pPr>
    </w:p>
    <w:p>
      <w:pPr>
        <w:ind w:left="540" w:hanging="34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620" w:hanging="42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Reserve</w:t>
      </w:r>
      <w:r>
        <w:rPr>
          <w:rFonts w:ascii="Arial" w:cs="Arial" w:eastAsia="Arial" w:hAnsi="Arial"/>
          <w:sz w:val="18"/>
          <w:szCs w:val="18"/>
          <w:color w:val="auto"/>
        </w:rPr>
        <w:t>” has the meaning set forth in Section 3(a).</w:t>
      </w:r>
    </w:p>
    <w:p>
      <w:pPr>
        <w:spacing w:after="0" w:line="225" w:lineRule="exact"/>
        <w:rPr>
          <w:rFonts w:ascii="Arial" w:cs="Arial" w:eastAsia="Arial" w:hAnsi="Arial"/>
          <w:sz w:val="18"/>
          <w:szCs w:val="18"/>
          <w:color w:val="auto"/>
        </w:rPr>
      </w:pPr>
    </w:p>
    <w:p>
      <w:pPr>
        <w:ind w:left="-460" w:firstLine="656"/>
        <w:spacing w:after="0" w:line="277" w:lineRule="auto"/>
        <w:tabs>
          <w:tab w:leader="none" w:pos="5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color w:val="auto"/>
        </w:rPr>
      </w:pPr>
    </w:p>
    <w:p>
      <w:pPr>
        <w:ind w:left="-460" w:firstLine="656"/>
        <w:spacing w:after="0" w:line="263" w:lineRule="auto"/>
        <w:tabs>
          <w:tab w:leader="none" w:pos="5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83" w:lineRule="exact"/>
        <w:rPr>
          <w:rFonts w:ascii="Arial" w:cs="Arial" w:eastAsia="Arial" w:hAnsi="Arial"/>
          <w:sz w:val="18"/>
          <w:szCs w:val="18"/>
          <w:color w:val="auto"/>
        </w:rPr>
      </w:pPr>
    </w:p>
    <w:p>
      <w:pPr>
        <w:ind w:left="-460" w:right="320" w:firstLine="656"/>
        <w:spacing w:after="0" w:line="342" w:lineRule="auto"/>
        <w:tabs>
          <w:tab w:leader="none" w:pos="5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Award</w:t>
      </w:r>
      <w:r>
        <w:rPr>
          <w:rFonts w:ascii="Arial" w:cs="Arial" w:eastAsia="Arial" w:hAnsi="Arial"/>
          <w:sz w:val="16"/>
          <w:szCs w:val="16"/>
          <w:color w:val="auto"/>
        </w:rPr>
        <w:t>” means an Incentive Stock Option, a Nonstatutory Stock Option, a Restricted Stock Award, a Restricted Stock Unit Award, a Stock Appreciation Right, a Performance Stock Award or any Other Stock Award granted under the Plan.</w:t>
      </w:r>
    </w:p>
    <w:p>
      <w:pPr>
        <w:spacing w:after="0" w:line="124" w:lineRule="exact"/>
        <w:rPr>
          <w:sz w:val="20"/>
          <w:szCs w:val="20"/>
          <w:color w:val="auto"/>
        </w:rPr>
      </w:pPr>
    </w:p>
    <w:p>
      <w:pPr>
        <w:ind w:left="-460" w:right="120" w:firstLine="656"/>
        <w:spacing w:after="0" w:line="342" w:lineRule="auto"/>
        <w:tabs>
          <w:tab w:leader="none" w:pos="5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Award Agreement</w:t>
      </w:r>
      <w:r>
        <w:rPr>
          <w:rFonts w:ascii="Arial" w:cs="Arial" w:eastAsia="Arial" w:hAnsi="Arial"/>
          <w:sz w:val="16"/>
          <w:szCs w:val="16"/>
          <w:color w:val="auto"/>
        </w:rPr>
        <w:t>” means a written agreement between the Company and a Participant evidencing the terms and conditions of a Stock Award grant. Each Stock Award Agreement shall be subject to the terms and conditions of the Plan.</w:t>
      </w:r>
    </w:p>
    <w:p>
      <w:pPr>
        <w:spacing w:after="0" w:line="123" w:lineRule="exact"/>
        <w:rPr>
          <w:rFonts w:ascii="Arial" w:cs="Arial" w:eastAsia="Arial" w:hAnsi="Arial"/>
          <w:sz w:val="16"/>
          <w:szCs w:val="16"/>
          <w:color w:val="auto"/>
        </w:rPr>
      </w:pPr>
    </w:p>
    <w:p>
      <w:pPr>
        <w:ind w:left="640" w:hanging="444"/>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Person</w:t>
      </w:r>
      <w:r>
        <w:rPr>
          <w:rFonts w:ascii="Arial" w:cs="Arial" w:eastAsia="Arial" w:hAnsi="Arial"/>
          <w:sz w:val="18"/>
          <w:szCs w:val="18"/>
          <w:color w:val="auto"/>
        </w:rPr>
        <w:t>” has the meaning set forth in Section 13(i)(i).</w:t>
      </w:r>
    </w:p>
    <w:p>
      <w:pPr>
        <w:spacing w:after="0" w:line="225" w:lineRule="exact"/>
        <w:rPr>
          <w:rFonts w:ascii="Arial" w:cs="Arial" w:eastAsia="Arial" w:hAnsi="Arial"/>
          <w:sz w:val="18"/>
          <w:szCs w:val="18"/>
          <w:color w:val="auto"/>
        </w:rPr>
      </w:pPr>
    </w:p>
    <w:p>
      <w:pPr>
        <w:ind w:left="-460" w:right="40" w:firstLine="656"/>
        <w:spacing w:after="0" w:line="255" w:lineRule="auto"/>
        <w:tabs>
          <w:tab w:leader="none" w:pos="5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92" w:lineRule="exact"/>
        <w:rPr>
          <w:rFonts w:ascii="Arial" w:cs="Arial" w:eastAsia="Arial" w:hAnsi="Arial"/>
          <w:sz w:val="18"/>
          <w:szCs w:val="18"/>
          <w:color w:val="auto"/>
        </w:rPr>
      </w:pPr>
    </w:p>
    <w:p>
      <w:pPr>
        <w:ind w:left="-460" w:right="340" w:firstLine="656"/>
        <w:spacing w:after="0" w:line="342" w:lineRule="auto"/>
        <w:tabs>
          <w:tab w:leader="none" w:pos="623"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Owns (or is deemed to Own pursuant to Section 424(d) of the Code) stock possessing more than ten percent of the total combined voting power of all classes of stock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293370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380"/>
          </w:cols>
          <w:pgMar w:left="1440" w:top="490" w:right="1079" w:bottom="1440" w:gutter="0" w:footer="0" w:header="0"/>
        </w:sectPr>
      </w:pPr>
    </w:p>
    <w:bookmarkStart w:id="56" w:name="page57"/>
    <w:bookmarkEnd w:id="5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James Gibson, certify that:</w:t>
      </w:r>
    </w:p>
    <w:p>
      <w:pPr>
        <w:spacing w:after="0" w:line="221" w:lineRule="exact"/>
        <w:rPr>
          <w:sz w:val="20"/>
          <w:szCs w:val="20"/>
          <w:color w:val="auto"/>
        </w:rPr>
      </w:pPr>
    </w:p>
    <w:p>
      <w:pPr>
        <w:ind w:left="700" w:hanging="65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21" w:lineRule="exact"/>
        <w:rPr>
          <w:rFonts w:ascii="Arial" w:cs="Arial" w:eastAsia="Arial" w:hAnsi="Arial"/>
          <w:sz w:val="16"/>
          <w:szCs w:val="16"/>
          <w:color w:val="auto"/>
        </w:rPr>
      </w:pPr>
    </w:p>
    <w:p>
      <w:pPr>
        <w:ind w:left="700" w:right="179" w:hanging="656"/>
        <w:spacing w:after="0" w:line="261"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700" w:right="239" w:hanging="656"/>
        <w:spacing w:after="0" w:line="261"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700" w:right="539" w:hanging="656"/>
        <w:spacing w:after="0" w:line="286" w:lineRule="auto"/>
        <w:tabs>
          <w:tab w:leader="none" w:pos="7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ind w:left="1340" w:right="79" w:hanging="648"/>
        <w:spacing w:after="0" w:line="256"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19" w:hanging="648"/>
        <w:spacing w:after="0" w:line="256"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340" w:right="159" w:hanging="648"/>
        <w:spacing w:after="0" w:line="261"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6"/>
          <w:szCs w:val="16"/>
          <w:color w:val="auto"/>
        </w:rPr>
      </w:pPr>
    </w:p>
    <w:p>
      <w:pPr>
        <w:ind w:left="1340" w:right="179" w:hanging="648"/>
        <w:spacing w:after="0" w:line="261"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700" w:right="479" w:hanging="656"/>
        <w:spacing w:after="0" w:line="310" w:lineRule="auto"/>
        <w:tabs>
          <w:tab w:leader="none" w:pos="7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8" w:lineRule="exact"/>
        <w:rPr>
          <w:rFonts w:ascii="Arial" w:cs="Arial" w:eastAsia="Arial" w:hAnsi="Arial"/>
          <w:sz w:val="15"/>
          <w:szCs w:val="15"/>
          <w:color w:val="auto"/>
        </w:rPr>
      </w:pPr>
    </w:p>
    <w:p>
      <w:pPr>
        <w:ind w:left="1340" w:right="279" w:hanging="648"/>
        <w:spacing w:after="0" w:line="261"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1340" w:right="159" w:hanging="648"/>
        <w:spacing w:after="0" w:line="275" w:lineRule="auto"/>
        <w:tabs>
          <w:tab w:leader="none" w:pos="13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June 8</w:t>
      </w:r>
      <w:r>
        <w:rPr>
          <w:rFonts w:ascii="Arial" w:cs="Arial" w:eastAsia="Arial" w:hAnsi="Arial"/>
          <w:sz w:val="17"/>
          <w:szCs w:val="17"/>
          <w:color w:val="auto"/>
        </w:rPr>
        <w:t>, 2021</w:t>
      </w:r>
      <w:r>
        <w:rPr>
          <w:sz w:val="20"/>
          <w:szCs w:val="20"/>
          <w:color w:val="auto"/>
        </w:rPr>
        <w:tab/>
      </w:r>
      <w:r>
        <w:rPr>
          <w:rFonts w:ascii="Arial" w:cs="Arial" w:eastAsia="Arial" w:hAnsi="Arial"/>
          <w:sz w:val="14"/>
          <w:szCs w:val="14"/>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13335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James Gibson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Kevin Manion, certify that:</w:t>
      </w:r>
    </w:p>
    <w:p>
      <w:pPr>
        <w:spacing w:after="0" w:line="221" w:lineRule="exact"/>
        <w:rPr>
          <w:sz w:val="20"/>
          <w:szCs w:val="20"/>
          <w:color w:val="auto"/>
        </w:rPr>
      </w:pPr>
    </w:p>
    <w:p>
      <w:pPr>
        <w:ind w:left="700" w:hanging="656"/>
        <w:spacing w:after="0"/>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21" w:lineRule="exact"/>
        <w:rPr>
          <w:rFonts w:ascii="Arial" w:cs="Arial" w:eastAsia="Arial" w:hAnsi="Arial"/>
          <w:sz w:val="16"/>
          <w:szCs w:val="16"/>
          <w:color w:val="auto"/>
        </w:rPr>
      </w:pPr>
    </w:p>
    <w:p>
      <w:pPr>
        <w:ind w:left="700" w:right="179" w:hanging="656"/>
        <w:spacing w:after="0" w:line="261"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700" w:right="239" w:hanging="656"/>
        <w:spacing w:after="0" w:line="261"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700" w:right="539" w:hanging="656"/>
        <w:spacing w:after="0" w:line="286" w:lineRule="auto"/>
        <w:tabs>
          <w:tab w:leader="none" w:pos="7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ind w:left="1340" w:right="79" w:hanging="648"/>
        <w:spacing w:after="0" w:line="256"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19" w:hanging="648"/>
        <w:spacing w:after="0" w:line="256"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340" w:right="159" w:hanging="648"/>
        <w:spacing w:after="0" w:line="261"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6"/>
          <w:szCs w:val="16"/>
          <w:color w:val="auto"/>
        </w:rPr>
      </w:pPr>
    </w:p>
    <w:p>
      <w:pPr>
        <w:ind w:left="1340" w:right="179" w:hanging="648"/>
        <w:spacing w:after="0" w:line="261"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700" w:right="479" w:hanging="656"/>
        <w:spacing w:after="0" w:line="310" w:lineRule="auto"/>
        <w:tabs>
          <w:tab w:leader="none" w:pos="7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8" w:lineRule="exact"/>
        <w:rPr>
          <w:rFonts w:ascii="Arial" w:cs="Arial" w:eastAsia="Arial" w:hAnsi="Arial"/>
          <w:sz w:val="15"/>
          <w:szCs w:val="15"/>
          <w:color w:val="auto"/>
        </w:rPr>
      </w:pPr>
    </w:p>
    <w:p>
      <w:pPr>
        <w:ind w:left="1340" w:right="279" w:hanging="648"/>
        <w:spacing w:after="0" w:line="261"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1340" w:right="159" w:hanging="648"/>
        <w:spacing w:after="0" w:line="275" w:lineRule="auto"/>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40"/>
        <w:spacing w:after="0"/>
        <w:tabs>
          <w:tab w:leader="none" w:pos="444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June 8, 2021</w:t>
      </w:r>
      <w:r>
        <w:rPr>
          <w:sz w:val="20"/>
          <w:szCs w:val="20"/>
          <w:color w:val="auto"/>
        </w:rPr>
        <w:tab/>
      </w:r>
      <w:r>
        <w:rPr>
          <w:rFonts w:ascii="Arial" w:cs="Arial" w:eastAsia="Arial" w:hAnsi="Arial"/>
          <w:sz w:val="15"/>
          <w:szCs w:val="15"/>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13335</wp:posOffset>
            </wp:positionV>
            <wp:extent cx="2854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Kevin Manion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513080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8" w:name="page59"/>
    <w:bookmarkEnd w:id="5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82"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7"/>
          <w:szCs w:val="17"/>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April 30, 2021,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8, 2021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Gibson</w:t>
      </w:r>
    </w:p>
    <w:p>
      <w:pPr>
        <w:ind w:left="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Manion</w:t>
      </w: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7"/>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lvl w:ilvl="1">
      <w:lvlJc w:val="left"/>
      <w:lvlText w:val="(%2)"/>
      <w:numFmt w:val="decimal"/>
      <w:start w:val="1"/>
    </w:lvl>
  </w:abstractNum>
  <w:abstractNum w:abstractNumId="5">
    <w:nsid w:val="6CEAF087"/>
    <w:multiLevelType w:val="hybridMultilevel"/>
    <w:lvl w:ilvl="0">
      <w:lvlJc w:val="left"/>
      <w:lvlText w:val="%1."/>
      <w:numFmt w:val="decimal"/>
      <w:start w:val="9"/>
    </w:lvl>
    <w:lvl w:ilvl="1">
      <w:lvlJc w:val="left"/>
      <w:lvlText w:val="%2"/>
      <w:numFmt w:val="decimal"/>
      <w:start w:val="1"/>
    </w:lvl>
  </w:abstractNum>
  <w:abstractNum w:abstractNumId="6">
    <w:nsid w:val="22221A70"/>
    <w:multiLevelType w:val="hybridMultilevel"/>
    <w:lvl w:ilvl="0">
      <w:lvlJc w:val="left"/>
      <w:lvlText w:val="(%1)"/>
      <w:numFmt w:val="lowerRoman"/>
      <w:start w:val="3"/>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3"/>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2"/>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01"/>
    </w:lvl>
  </w:abstractNum>
  <w:abstractNum w:abstractNumId="16">
    <w:nsid w:val="7724C67E"/>
    <w:multiLevelType w:val="hybridMultilevel"/>
    <w:lvl w:ilvl="0">
      <w:lvlJc w:val="left"/>
      <w:lvlText w:val="%1"/>
      <w:numFmt w:val="decimal"/>
      <w:start w:val="1"/>
    </w:lvl>
    <w:lvl w:ilvl="1">
      <w:lvlJc w:val="left"/>
      <w:lvlText w:val="%2"/>
      <w:numFmt w:val="decimal"/>
      <w:start w:val="104"/>
    </w:lvl>
  </w:abstractNum>
  <w:abstractNum w:abstractNumId="17">
    <w:nsid w:val="5C482A97"/>
    <w:multiLevelType w:val="hybridMultilevel"/>
    <w:lvl w:ilvl="0">
      <w:lvlJc w:val="left"/>
      <w:lvlText w:val="(%1)"/>
      <w:numFmt w:val="decimal"/>
      <w:start w:val="1"/>
    </w:lvl>
    <w:lvl w:ilvl="1">
      <w:lvlJc w:val="left"/>
      <w:lvlText w:val="%2"/>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51EAD36B"/>
    <w:multiLevelType w:val="hybridMultilevel"/>
    <w:lvl w:ilvl="0">
      <w:lvlJc w:val="left"/>
      <w:lvlText w:val="%1"/>
      <w:numFmt w:val="lowerLetter"/>
      <w:start w:val="1"/>
    </w:lvl>
    <w:lvl w:ilvl="1">
      <w:lvlJc w:val="left"/>
      <w:lvlText w:val="(%2)"/>
      <w:numFmt w:val="lowerRoman"/>
      <w:start w:val="4"/>
    </w:lvl>
  </w:abstractNum>
  <w:abstractNum w:abstractNumId="21">
    <w:nsid w:val="2D517796"/>
    <w:multiLevelType w:val="hybridMultilevel"/>
    <w:lvl w:ilvl="0">
      <w:lvlJc w:val="left"/>
      <w:lvlText w:val="(%1)"/>
      <w:numFmt w:val="lowerLetter"/>
      <w:start w:val="3"/>
    </w:lvl>
    <w:lvl w:ilvl="1">
      <w:lvlJc w:val="left"/>
      <w:lvlText w:val="(%2)"/>
      <w:numFmt w:val="lowerRoman"/>
      <w:start w:val="1"/>
    </w:lvl>
  </w:abstractNum>
  <w:abstractNum w:abstractNumId="22">
    <w:nsid w:val="580BD78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3">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4">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6">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7">
    <w:nsid w:val="2A487CB0"/>
    <w:multiLevelType w:val="hybridMultilevel"/>
    <w:lvl w:ilvl="0">
      <w:lvlJc w:val="left"/>
      <w:lvlText w:val="%1"/>
      <w:numFmt w:val="decimal"/>
      <w:start w:val="1"/>
    </w:lvl>
    <w:lvl w:ilvl="1">
      <w:lvlJc w:val="left"/>
      <w:lvlText w:val="(%2)"/>
      <w:numFmt w:val="lowerLetter"/>
      <w:start w:val="6"/>
    </w:lvl>
  </w:abstractNum>
  <w:abstractNum w:abstractNumId="28">
    <w:nsid w:val="1D4ED43B"/>
    <w:multiLevelType w:val="hybridMultilevel"/>
    <w:lvl w:ilvl="0">
      <w:lvlJc w:val="left"/>
      <w:lvlText w:val="%1."/>
      <w:numFmt w:val="decimal"/>
      <w:start w:val="5"/>
    </w:lvl>
    <w:lvl w:ilvl="1">
      <w:lvlJc w:val="left"/>
      <w:lvlText w:val="%2"/>
      <w:numFmt w:val="lowerLetter"/>
      <w:start w:val="1"/>
    </w:lvl>
  </w:abstractNum>
  <w:abstractNum w:abstractNumId="29">
    <w:nsid w:val="725A06FB"/>
    <w:multiLevelType w:val="hybridMultilevel"/>
    <w:lvl w:ilvl="0">
      <w:lvlJc w:val="left"/>
      <w:lvlText w:val="(%1)"/>
      <w:numFmt w:val="lowerLetter"/>
      <w:start w:val="1"/>
    </w:lvl>
    <w:lvl w:ilvl="1">
      <w:lvlJc w:val="left"/>
      <w:lvlText w:val="(%2)"/>
      <w:numFmt w:val="lowerLetter"/>
      <w:start w:val="9"/>
    </w:lvl>
  </w:abstractNum>
  <w:abstractNum w:abstractNumId="30">
    <w:nsid w:val="2CD89A32"/>
    <w:multiLevelType w:val="hybridMultilevel"/>
    <w:lvl w:ilvl="0">
      <w:lvlJc w:val="left"/>
      <w:lvlText w:val="%1"/>
      <w:numFmt w:val="lowerLetter"/>
      <w:start w:val="1"/>
    </w:lvl>
    <w:lvl w:ilvl="1">
      <w:lvlJc w:val="left"/>
      <w:lvlText w:val="(%2)"/>
      <w:numFmt w:val="lowerRoman"/>
      <w:start w:val="2"/>
    </w:lvl>
  </w:abstractNum>
  <w:abstractNum w:abstractNumId="31">
    <w:nsid w:val="57E4CCAF"/>
    <w:multiLevelType w:val="hybridMultilevel"/>
    <w:lvl w:ilvl="0">
      <w:lvlJc w:val="left"/>
      <w:lvlText w:val="(%1)"/>
      <w:numFmt w:val="lowerLetter"/>
      <w:start w:val="4"/>
    </w:lvl>
    <w:lvl w:ilvl="1">
      <w:lvlJc w:val="left"/>
      <w:lvlText w:val="(%2)"/>
      <w:numFmt w:val="lowerRoman"/>
      <w:start w:val="1"/>
    </w:lvl>
  </w:abstractNum>
  <w:abstractNum w:abstractNumId="32">
    <w:nsid w:val="7A6D8D3C"/>
    <w:multiLevelType w:val="hybridMultilevel"/>
    <w:lvl w:ilvl="0">
      <w:lvlJc w:val="left"/>
      <w:lvlText w:val="(%1)"/>
      <w:numFmt w:val="lowerLetter"/>
      <w:start w:val="6"/>
    </w:lvl>
  </w:abstractNum>
  <w:abstractNum w:abstractNumId="33">
    <w:nsid w:val="4B588F5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4">
    <w:nsid w:val="542289E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
    <w:nsid w:val="6DE91B18"/>
    <w:multiLevelType w:val="hybridMultilevel"/>
    <w:lvl w:ilvl="0">
      <w:lvlJc w:val="left"/>
      <w:lvlText w:val="(%1)"/>
      <w:numFmt w:val="lowerLetter"/>
      <w:start w:val="2"/>
    </w:lvl>
    <w:lvl w:ilvl="1">
      <w:lvlJc w:val="left"/>
      <w:lvlText w:val="(%2)"/>
      <w:numFmt w:val="lowerRoman"/>
      <w:start w:val="1"/>
    </w:lvl>
  </w:abstractNum>
  <w:abstractNum w:abstractNumId="36">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
    <w:nsid w:val="7644A45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8">
    <w:nsid w:val="32FFF90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9">
    <w:nsid w:val="684A481A"/>
    <w:multiLevelType w:val="hybridMultilevel"/>
    <w:lvl w:ilvl="0">
      <w:lvlJc w:val="left"/>
      <w:lvlText w:val="(%1)"/>
      <w:numFmt w:val="lowerLetter"/>
      <w:start w:val="3"/>
    </w:lvl>
  </w:abstractNum>
  <w:abstractNum w:abstractNumId="40">
    <w:nsid w:val="579478FE"/>
    <w:multiLevelType w:val="hybridMultilevel"/>
    <w:lvl w:ilvl="0">
      <w:lvlJc w:val="left"/>
      <w:lvlText w:val="(%1)"/>
      <w:numFmt w:val="lowerLetter"/>
      <w:start w:val="8"/>
    </w:lvl>
    <w:lvl w:ilvl="1">
      <w:lvlJc w:val="left"/>
      <w:lvlText w:val="(%2)"/>
      <w:numFmt w:val="lowerRoman"/>
      <w:start w:val="1"/>
    </w:lvl>
  </w:abstractNum>
  <w:abstractNum w:abstractNumId="41">
    <w:nsid w:val="749ABB4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2">
    <w:nsid w:val="3DC240FB"/>
    <w:multiLevelType w:val="hybridMultilevel"/>
    <w:lvl w:ilvl="0">
      <w:lvlJc w:val="left"/>
      <w:lvlText w:val="%1."/>
      <w:numFmt w:val="decimal"/>
      <w:start w:val="10"/>
    </w:lvl>
    <w:lvl w:ilvl="1">
      <w:lvlJc w:val="left"/>
      <w:lvlText w:val="(%2)"/>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5"/>
    </w:lvl>
    <w:lvl w:ilvl="1">
      <w:lvlJc w:val="left"/>
      <w:lvlText w:val="(%2)"/>
      <w:numFmt w:val="lowerRoman"/>
      <w:start w:val="1"/>
    </w:lvl>
  </w:abstractNum>
  <w:abstractNum w:abstractNumId="45">
    <w:nsid w:val="75C6C33A"/>
    <w:multiLevelType w:val="hybridMultilevel"/>
    <w:lvl w:ilvl="0">
      <w:lvlJc w:val="left"/>
      <w:lvlText w:val="(%1)"/>
      <w:numFmt w:val="lowerRoman"/>
      <w:start w:val="3"/>
    </w:lvl>
  </w:abstractNum>
  <w:abstractNum w:abstractNumId="46">
    <w:nsid w:val="12E685FB"/>
    <w:multiLevelType w:val="hybridMultilevel"/>
    <w:lvl w:ilvl="0">
      <w:lvlJc w:val="left"/>
      <w:lvlText w:val="(%1)"/>
      <w:numFmt w:val="lowerLetter"/>
      <w:start w:val="10"/>
    </w:lvl>
  </w:abstractNum>
  <w:abstractNum w:abstractNumId="47">
    <w:nsid w:val="70C6A529"/>
    <w:multiLevelType w:val="hybridMultilevel"/>
    <w:lvl w:ilvl="0">
      <w:lvlJc w:val="left"/>
      <w:lvlText w:val="(%1)"/>
      <w:numFmt w:val="lowerLetter"/>
      <w:start w:val="14"/>
    </w:lvl>
  </w:abstractNum>
  <w:abstractNum w:abstractNumId="48">
    <w:nsid w:val="520EEDD1"/>
    <w:multiLevelType w:val="hybridMultilevel"/>
    <w:lvl w:ilvl="0">
      <w:lvlJc w:val="left"/>
      <w:lvlText w:val="(%1)"/>
      <w:numFmt w:val="lowerLetter"/>
      <w:start w:val="15"/>
    </w:lvl>
    <w:lvl w:ilvl="1">
      <w:lvlJc w:val="left"/>
      <w:lvlText w:val="(%2)"/>
      <w:numFmt w:val="lowerLetter"/>
      <w:start w:val="9"/>
    </w:lvl>
  </w:abstractNum>
  <w:abstractNum w:abstractNumId="49">
    <w:nsid w:val="374A3FE6"/>
    <w:multiLevelType w:val="hybridMultilevel"/>
    <w:lvl w:ilvl="0">
      <w:lvlJc w:val="left"/>
      <w:lvlText w:val="%1"/>
      <w:numFmt w:val="lowerLetter"/>
      <w:start w:val="1"/>
    </w:lvl>
    <w:lvl w:ilvl="1">
      <w:lvlJc w:val="left"/>
      <w:lvlText w:val="(%2)"/>
      <w:numFmt w:val="lowerRoman"/>
      <w:start w:val="2"/>
    </w:lvl>
  </w:abstractNum>
  <w:abstractNum w:abstractNumId="50">
    <w:nsid w:val="4F4EF005"/>
    <w:multiLevelType w:val="hybridMultilevel"/>
    <w:lvl w:ilvl="0">
      <w:lvlJc w:val="left"/>
      <w:lvlText w:val="(%1)"/>
      <w:numFmt w:val="lowerLetter"/>
      <w:start w:val="24"/>
    </w:lvl>
    <w:lvl w:ilvl="1">
      <w:lvlJc w:val="left"/>
      <w:lvlText w:val="%2"/>
      <w:numFmt w:val="lowerRoman"/>
      <w:start w:val="1"/>
    </w:lvl>
  </w:abstractNum>
  <w:abstractNum w:abstractNumId="51">
    <w:nsid w:val="23F9C13C"/>
    <w:multiLevelType w:val="hybridMultilevel"/>
    <w:lvl w:ilvl="0">
      <w:lvlJc w:val="left"/>
      <w:lvlText w:val="(%1)"/>
      <w:numFmt w:val="lowerLetter"/>
      <w:start w:val="27"/>
    </w:lvl>
  </w:abstractNum>
  <w:abstractNum w:abstractNumId="52">
    <w:nsid w:val="649BB77C"/>
    <w:multiLevelType w:val="hybridMultilevel"/>
    <w:lvl w:ilvl="0">
      <w:lvlJc w:val="left"/>
      <w:lvlText w:val="%1"/>
      <w:numFmt w:val="lowerRoman"/>
      <w:start w:val="1"/>
    </w:lvl>
    <w:lvl w:ilvl="1">
      <w:lvlJc w:val="left"/>
      <w:lvlText w:val="(%2)"/>
      <w:numFmt w:val="lowerLetter"/>
      <w:start w:val="38"/>
    </w:lvl>
  </w:abstractNum>
  <w:abstractNum w:abstractNumId="53">
    <w:nsid w:val="275AC794"/>
    <w:multiLevelType w:val="hybridMultilevel"/>
    <w:lvl w:ilvl="0">
      <w:lvlJc w:val="left"/>
      <w:lvlText w:val="(%1)"/>
      <w:numFmt w:val="lowerRoman"/>
      <w:start w:val="15"/>
    </w:lvl>
    <w:lvl w:ilvl="1">
      <w:lvlJc w:val="left"/>
      <w:lvlText w:val="(%2)"/>
      <w:numFmt w:val="lowerLetter"/>
      <w:start w:val="40"/>
    </w:lvl>
  </w:abstractNum>
  <w:abstractNum w:abstractNumId="54">
    <w:nsid w:val="39386575"/>
    <w:multiLevelType w:val="hybridMultilevel"/>
    <w:lvl w:ilvl="0">
      <w:lvlJc w:val="left"/>
      <w:lvlText w:val="(%1)"/>
      <w:numFmt w:val="lowerLetter"/>
      <w:start w:val="44"/>
    </w:lvl>
  </w:abstractNum>
  <w:abstractNum w:abstractNumId="55">
    <w:nsid w:val="1CF10FD8"/>
    <w:multiLevelType w:val="hybridMultilevel"/>
    <w:lvl w:ilvl="0">
      <w:lvlJc w:val="left"/>
      <w:lvlText w:val="(%1)"/>
      <w:numFmt w:val="lowerLetter"/>
      <w:start w:val="53"/>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49" Type="http://schemas.openxmlformats.org/officeDocument/2006/relationships/hyperlink" Target="https://www.sec.gov/Archives/edgar/data/1133470/000155837021000828/cvgw-20210203xex10d1.htm" TargetMode="External"/><Relationship Id="rId50" Type="http://schemas.openxmlformats.org/officeDocument/2006/relationships/hyperlink" Target="https://www.sec.gov/Archives/edgar/data/1133470/000155837021000828/cvgw-20210203xex10d2.htm" TargetMode="External"/><Relationship Id="rId51" Type="http://schemas.openxmlformats.org/officeDocument/2006/relationships/hyperlink" Target="https://www.sec.gov/Archives/edgar/data/1133470/000155837021000828/cvgw-20210203xex10d3.htm" TargetMode="External"/><Relationship Id="rId52" Type="http://schemas.openxmlformats.org/officeDocument/2006/relationships/hyperlink" Target="https://www.sec.gov/Archives/edgar/data/1133470/000155837021000828/cvgw-20210203xex10d4.htm" TargetMode="External"/><Relationship Id="rId53" Type="http://schemas.openxmlformats.org/officeDocument/2006/relationships/hyperlink" Target="https://www.sec.gov/Archives/edgar/data/1133470/000155837021000828/cvgw-20210203xex10d5.htm" TargetMode="External"/><Relationship Id="rId54" Type="http://schemas.openxmlformats.org/officeDocument/2006/relationships/hyperlink" Target="https://www.sec.gov/Archives/edgar/data/1133470/000155837021000655/cvgw-202101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2021-06-08T15:35:18Z</dcterms:created>
  <dcterms:modified xsi:type="dcterms:W3CDTF">2021-06-08T15:35:18Z</dcterms:modified>
</cp:coreProperties>
</file>