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29,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333-256980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POST EFFECTIVE AMENDMENT NO. 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FORM S-8</w:t>
      </w: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Calavo Growers,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1980" w:type="dxa"/>
            <w:vAlign w:val="bottom"/>
          </w:tcPr>
          <w:p>
            <w:pPr>
              <w:jc w:val="center"/>
              <w:ind w:right="22"/>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5080" w:type="dxa"/>
            <w:vAlign w:val="bottom"/>
          </w:tcPr>
          <w:p>
            <w:pPr>
              <w:jc w:val="center"/>
              <w:ind w:left="3876"/>
              <w:spacing w:after="0"/>
              <w:rPr>
                <w:sz w:val="20"/>
                <w:szCs w:val="20"/>
                <w:color w:val="auto"/>
              </w:rPr>
            </w:pPr>
            <w:r>
              <w:rPr>
                <w:rFonts w:ascii="Times New Roman" w:cs="Times New Roman" w:eastAsia="Times New Roman" w:hAnsi="Times New Roman"/>
                <w:sz w:val="18"/>
                <w:szCs w:val="18"/>
                <w:b w:val="1"/>
                <w:bCs w:val="1"/>
                <w:color w:val="auto"/>
              </w:rPr>
              <w:t>33-0945304</w:t>
            </w:r>
          </w:p>
        </w:tc>
      </w:tr>
      <w:tr>
        <w:trPr>
          <w:trHeight w:val="149"/>
        </w:trPr>
        <w:tc>
          <w:tcPr>
            <w:tcW w:w="198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80" w:type="dxa"/>
            <w:vAlign w:val="bottom"/>
          </w:tcPr>
          <w:p>
            <w:pPr>
              <w:jc w:val="center"/>
              <w:ind w:left="3876"/>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98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080" w:type="dxa"/>
            <w:vAlign w:val="bottom"/>
          </w:tcPr>
          <w:p>
            <w:pPr>
              <w:jc w:val="center"/>
              <w:ind w:left="3876"/>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1980" w:type="dxa"/>
            <w:vAlign w:val="bottom"/>
          </w:tcPr>
          <w:p>
            <w:pPr>
              <w:spacing w:after="0"/>
              <w:rPr>
                <w:sz w:val="24"/>
                <w:szCs w:val="24"/>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8"/>
                <w:szCs w:val="18"/>
                <w:b w:val="1"/>
                <w:bCs w:val="1"/>
                <w:color w:val="auto"/>
                <w:w w:val="99"/>
              </w:rPr>
              <w:t>c/o Mission Produce, Inc.</w:t>
            </w:r>
          </w:p>
        </w:tc>
      </w:tr>
      <w:tr>
        <w:trPr>
          <w:trHeight w:val="216"/>
        </w:trPr>
        <w:tc>
          <w:tcPr>
            <w:tcW w:w="1980" w:type="dxa"/>
            <w:vAlign w:val="bottom"/>
          </w:tcPr>
          <w:p>
            <w:pPr>
              <w:spacing w:after="0"/>
              <w:rPr>
                <w:sz w:val="18"/>
                <w:szCs w:val="18"/>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8"/>
                <w:szCs w:val="18"/>
                <w:b w:val="1"/>
                <w:bCs w:val="1"/>
                <w:color w:val="auto"/>
                <w:w w:val="99"/>
              </w:rPr>
              <w:t>2710 Camino Del Sol,</w:t>
            </w:r>
          </w:p>
        </w:tc>
      </w:tr>
      <w:tr>
        <w:trPr>
          <w:trHeight w:val="214"/>
        </w:trPr>
        <w:tc>
          <w:tcPr>
            <w:tcW w:w="1980" w:type="dxa"/>
            <w:vAlign w:val="bottom"/>
          </w:tcPr>
          <w:p>
            <w:pPr>
              <w:spacing w:after="0"/>
              <w:rPr>
                <w:sz w:val="18"/>
                <w:szCs w:val="18"/>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8"/>
                <w:szCs w:val="18"/>
                <w:b w:val="1"/>
                <w:bCs w:val="1"/>
                <w:color w:val="auto"/>
                <w:w w:val="99"/>
              </w:rPr>
              <w:t>Oxnard, CA 93030</w:t>
            </w:r>
          </w:p>
        </w:tc>
      </w:tr>
      <w:tr>
        <w:trPr>
          <w:trHeight w:val="190"/>
        </w:trPr>
        <w:tc>
          <w:tcPr>
            <w:tcW w:w="1980" w:type="dxa"/>
            <w:vAlign w:val="bottom"/>
          </w:tcPr>
          <w:p>
            <w:pPr>
              <w:spacing w:after="0"/>
              <w:rPr>
                <w:sz w:val="16"/>
                <w:szCs w:val="16"/>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r>
      <w:tr>
        <w:trPr>
          <w:trHeight w:val="390"/>
        </w:trPr>
        <w:tc>
          <w:tcPr>
            <w:tcW w:w="1980" w:type="dxa"/>
            <w:vAlign w:val="bottom"/>
          </w:tcPr>
          <w:p>
            <w:pPr>
              <w:spacing w:after="0"/>
              <w:rPr>
                <w:sz w:val="24"/>
                <w:szCs w:val="24"/>
                <w:color w:val="auto"/>
              </w:rPr>
            </w:pPr>
          </w:p>
        </w:tc>
        <w:tc>
          <w:tcPr>
            <w:tcW w:w="5080" w:type="dxa"/>
            <w:vAlign w:val="bottom"/>
          </w:tcPr>
          <w:p>
            <w:pPr>
              <w:jc w:val="center"/>
              <w:ind w:right="1616"/>
              <w:spacing w:after="0"/>
              <w:rPr>
                <w:sz w:val="20"/>
                <w:szCs w:val="20"/>
                <w:color w:val="auto"/>
              </w:rPr>
            </w:pPr>
            <w:r>
              <w:rPr>
                <w:rFonts w:ascii="Times New Roman" w:cs="Times New Roman" w:eastAsia="Times New Roman" w:hAnsi="Times New Roman"/>
                <w:sz w:val="18"/>
                <w:szCs w:val="18"/>
                <w:b w:val="1"/>
                <w:bCs w:val="1"/>
                <w:color w:val="auto"/>
                <w:w w:val="99"/>
              </w:rPr>
              <w:t>2020 Equity Incentive Plan (as amended)</w:t>
            </w:r>
          </w:p>
        </w:tc>
      </w:tr>
      <w:tr>
        <w:trPr>
          <w:trHeight w:val="190"/>
        </w:trPr>
        <w:tc>
          <w:tcPr>
            <w:tcW w:w="1980" w:type="dxa"/>
            <w:vAlign w:val="bottom"/>
          </w:tcPr>
          <w:p>
            <w:pPr>
              <w:spacing w:after="0"/>
              <w:rPr>
                <w:sz w:val="16"/>
                <w:szCs w:val="16"/>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4"/>
                <w:szCs w:val="14"/>
                <w:b w:val="1"/>
                <w:bCs w:val="1"/>
                <w:color w:val="auto"/>
              </w:rPr>
              <w:t>(Full title of the plan)</w:t>
            </w:r>
          </w:p>
        </w:tc>
      </w:tr>
      <w:tr>
        <w:trPr>
          <w:trHeight w:val="393"/>
        </w:trPr>
        <w:tc>
          <w:tcPr>
            <w:tcW w:w="1980" w:type="dxa"/>
            <w:vAlign w:val="bottom"/>
          </w:tcPr>
          <w:p>
            <w:pPr>
              <w:spacing w:after="0"/>
              <w:rPr>
                <w:sz w:val="24"/>
                <w:szCs w:val="24"/>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8"/>
                <w:szCs w:val="18"/>
                <w:b w:val="1"/>
                <w:bCs w:val="1"/>
                <w:color w:val="auto"/>
                <w:w w:val="99"/>
              </w:rPr>
              <w:t>John Pawlowski</w:t>
            </w:r>
          </w:p>
        </w:tc>
      </w:tr>
      <w:tr>
        <w:trPr>
          <w:trHeight w:val="216"/>
        </w:trPr>
        <w:tc>
          <w:tcPr>
            <w:tcW w:w="1980" w:type="dxa"/>
            <w:vAlign w:val="bottom"/>
          </w:tcPr>
          <w:p>
            <w:pPr>
              <w:spacing w:after="0"/>
              <w:rPr>
                <w:sz w:val="18"/>
                <w:szCs w:val="18"/>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16"/>
        </w:trPr>
        <w:tc>
          <w:tcPr>
            <w:tcW w:w="1980" w:type="dxa"/>
            <w:vAlign w:val="bottom"/>
          </w:tcPr>
          <w:p>
            <w:pPr>
              <w:spacing w:after="0"/>
              <w:rPr>
                <w:sz w:val="18"/>
                <w:szCs w:val="18"/>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8"/>
                <w:szCs w:val="18"/>
                <w:b w:val="1"/>
                <w:bCs w:val="1"/>
                <w:color w:val="auto"/>
                <w:w w:val="99"/>
              </w:rPr>
              <w:t>c/o Mission Produce, Inc.</w:t>
            </w:r>
          </w:p>
        </w:tc>
      </w:tr>
      <w:tr>
        <w:trPr>
          <w:trHeight w:val="216"/>
        </w:trPr>
        <w:tc>
          <w:tcPr>
            <w:tcW w:w="1980" w:type="dxa"/>
            <w:vAlign w:val="bottom"/>
          </w:tcPr>
          <w:p>
            <w:pPr>
              <w:spacing w:after="0"/>
              <w:rPr>
                <w:sz w:val="18"/>
                <w:szCs w:val="18"/>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8"/>
                <w:szCs w:val="18"/>
                <w:b w:val="1"/>
                <w:bCs w:val="1"/>
                <w:color w:val="auto"/>
                <w:w w:val="99"/>
              </w:rPr>
              <w:t>2710 Camino Del Sol,</w:t>
            </w:r>
          </w:p>
        </w:tc>
      </w:tr>
      <w:tr>
        <w:trPr>
          <w:trHeight w:val="214"/>
        </w:trPr>
        <w:tc>
          <w:tcPr>
            <w:tcW w:w="1980" w:type="dxa"/>
            <w:vAlign w:val="bottom"/>
          </w:tcPr>
          <w:p>
            <w:pPr>
              <w:spacing w:after="0"/>
              <w:rPr>
                <w:sz w:val="18"/>
                <w:szCs w:val="18"/>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8"/>
                <w:szCs w:val="18"/>
                <w:b w:val="1"/>
                <w:bCs w:val="1"/>
                <w:color w:val="auto"/>
                <w:w w:val="99"/>
              </w:rPr>
              <w:t>Oxnard, CA 93030</w:t>
            </w:r>
          </w:p>
        </w:tc>
      </w:tr>
      <w:tr>
        <w:trPr>
          <w:trHeight w:val="190"/>
        </w:trPr>
        <w:tc>
          <w:tcPr>
            <w:tcW w:w="1980" w:type="dxa"/>
            <w:vAlign w:val="bottom"/>
          </w:tcPr>
          <w:p>
            <w:pPr>
              <w:spacing w:after="0"/>
              <w:rPr>
                <w:sz w:val="16"/>
                <w:szCs w:val="16"/>
                <w:color w:val="auto"/>
              </w:rPr>
            </w:pPr>
          </w:p>
        </w:tc>
        <w:tc>
          <w:tcPr>
            <w:tcW w:w="5080" w:type="dxa"/>
            <w:vAlign w:val="bottom"/>
          </w:tcPr>
          <w:p>
            <w:pPr>
              <w:jc w:val="center"/>
              <w:ind w:right="1616"/>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(805) 981-3650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382270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Steven Stokdyk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Darren Guttenberg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10250 Constellation Blvd., Suite 1100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Los Angeles, CA 90067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(213) 891-7421</w:t>
      </w:r>
    </w:p>
    <w:p>
      <w:pPr>
        <w:spacing w:after="0" w:line="207"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25" w:right="439" w:bottom="797"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NOTE/DEREGISTRATION OF SECURITIES</w:t>
      </w:r>
    </w:p>
    <w:p>
      <w:pPr>
        <w:spacing w:after="0" w:line="229" w:lineRule="exact"/>
        <w:rPr>
          <w:sz w:val="20"/>
          <w:szCs w:val="20"/>
          <w:color w:val="auto"/>
        </w:rPr>
      </w:pPr>
    </w:p>
    <w:p>
      <w:pPr>
        <w:ind w:right="200" w:firstLine="4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Post-Effective Amendment No. 1 (this “Post-Effective Amendment”) relates to the Registration Statement on </w:t>
      </w:r>
      <w:hyperlink r:id="rId17">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333-256980) (the “Registration Statement”) previously filed by Calavo Growers, Inc., a California corporation (the “Registrant”) with the Securities and Exchange Commission (the “SEC”) on June 10, 2021 to register 1,500,000 shares of the Registrant’s common stock, $0.001 par value per share (the “Common Stock”), reserved for issuance under the 2020 Equity Incentive Plan, as amended from time to time. This Post-Effective Amendment is being filed to deregister any and all securities that remain unsold or otherwise unissued as of the date hereof under the Registration Statement.</w:t>
      </w:r>
    </w:p>
    <w:p>
      <w:pPr>
        <w:spacing w:after="0" w:line="183"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Effective May 28, 2026 pursuant to and in accordance with the Agreement and Plan of Merger, dated as of January 14, 2026 (the “Merger Agreement”), by and among the Registrant, Mission Produce, Inc., a Delaware corporation (“Mission Produce”), Cantaloupe Merger Sub I, Inc., a Delaware corporation and wholly owned subsidiary of Mission Produce (“Merger Sub I”) and Cantaloupe Merger Sub II, LLC, a Delaware limited liability company and a wholly owned subsidiary of Mission Produce (“Merger Sub II”), pursuant to which, subject to the terms and conditions of the Merger Agreement, (a) Merger Sub I will merge with and into the Registrant, pursuant to the provisions of the California Corporations Code, as amended (the “CCC”) and the General Corporation Law of the State of Delaware, as amended (the “DGCL”), with the Registrant as the surviving entity (the “Surviving Corporation” and such transaction the “First Merger”) and (b) immediately following the First Merger, the Surviving Corporation will merge with and into Merger Sub II, with Merger Sub II as the surviving entity (the “Surviving Company”), in accordance with the applicable provisions of the CCC, the DGCL and the Delaware Limited Liability Company Act, as amended (such merger, the “Second Merger” and together with the First Merger, the “Mergers”).</w:t>
      </w:r>
    </w:p>
    <w:p>
      <w:pPr>
        <w:spacing w:after="0" w:line="194"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As a result of the Mergers and the other transactions contemplated by the Merger Agreement, the Registrant has terminated any and all offers and sales of its securities registered pursuant to the Registration Statement and is deregistering the remaining shares of its Common Stock (the “Shares”) registered but unsold as of the effective time of the First Merger under the Registration Statement, if any. In accordance with an undertaking made by the Registrant in the Registration Statement to remove from registration, by means of a post-effective amendment, any of the Shares that had been registered for issuance under the Registration Statement that remain unsold at the termination of the offerings, the Registrant hereby removes from registration any and all such Shares registered but unsold as of the date of this Post-Effective Amendment. The Registration Statement is amended, as appropriate, to reflect the deregistration of the Shares as of the date of this Post-Effective Amendment.</w:t>
      </w:r>
    </w:p>
    <w:p>
      <w:pPr>
        <w:sectPr>
          <w:pgSz w:w="11900" w:h="16838" w:orient="portrait"/>
          <w:cols w:equalWidth="0" w:num="1">
            <w:col w:w="11000"/>
          </w:cols>
          <w:pgMar w:left="440" w:top="266"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 Effective Amendment to the Registration Statement to be signed on its behalf by the undersigned, thereunto duly authorized, in the City of Oxnard, State of California, on the May 28, 2026.</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Calavo Growers,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successor by merger to Calavo Growers, Inc.</w:t>
      </w:r>
    </w:p>
    <w:p>
      <w:pPr>
        <w:spacing w:after="0" w:line="220"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Pawlowski</w:t>
            </w:r>
          </w:p>
        </w:tc>
      </w:tr>
      <w:tr>
        <w:trPr>
          <w:trHeight w:val="205"/>
        </w:trPr>
        <w:tc>
          <w:tcPr>
            <w:tcW w:w="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John Pawlowski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 in reliance on Rule 478 of the Securities Act of 1933, as amended.</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7" Type="http://schemas.openxmlformats.org/officeDocument/2006/relationships/hyperlink" Target="http://www.sec.gov/Archives/edgar/data/1133470/000155837021008203/tmb-20210610x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2026-05-29T05:42:20Z</dcterms:created>
  <dcterms:modified xsi:type="dcterms:W3CDTF">2026-05-29T05:42:20Z</dcterms:modified>
</cp:coreProperties>
</file>