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30, 2024</w:t>
      </w:r>
    </w:p>
    <w:p>
      <w:pPr>
        <w:spacing w:after="0" w:line="1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Charter)</w:t>
      </w:r>
    </w:p>
    <w:p>
      <w:pPr>
        <w:spacing w:after="0" w:line="201" w:lineRule="exact"/>
        <w:rPr>
          <w:sz w:val="24"/>
          <w:szCs w:val="24"/>
          <w:color w:val="auto"/>
        </w:rPr>
      </w:pPr>
    </w:p>
    <w:tbl>
      <w:tblPr>
        <w:tblLayout w:type="fixed"/>
        <w:tblInd w:w="60" w:type="dxa"/>
        <w:tblCellMar>
          <w:top w:w="0" w:type="dxa"/>
          <w:left w:w="0" w:type="dxa"/>
          <w:bottom w:w="0" w:type="dxa"/>
          <w:right w:w="0" w:type="dxa"/>
        </w:tblCellMar>
      </w:tblPr>
      <w:tr>
        <w:trPr>
          <w:trHeight w:val="238"/>
        </w:trPr>
        <w:tc>
          <w:tcPr>
            <w:tcW w:w="31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California</w:t>
            </w:r>
          </w:p>
        </w:tc>
        <w:tc>
          <w:tcPr>
            <w:tcW w:w="2700" w:type="dxa"/>
            <w:vAlign w:val="bottom"/>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000-33385</w:t>
            </w: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33-0945304</w:t>
            </w:r>
          </w:p>
        </w:tc>
      </w:tr>
      <w:tr>
        <w:trPr>
          <w:trHeight w:val="191"/>
        </w:trPr>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(State or Other</w:t>
            </w:r>
          </w:p>
        </w:tc>
        <w:tc>
          <w:tcPr>
            <w:tcW w:w="1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140" w:type="dxa"/>
            <w:vAlign w:val="bottom"/>
          </w:tcPr>
          <w:p>
            <w:pPr>
              <w:spacing w:after="0"/>
              <w:rPr>
                <w:sz w:val="16"/>
                <w:szCs w:val="16"/>
                <w:color w:val="auto"/>
              </w:rPr>
            </w:pPr>
          </w:p>
        </w:tc>
        <w:tc>
          <w:tcPr>
            <w:tcW w:w="29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10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Jurisdiction of Incorporation)</w:t>
            </w:r>
          </w:p>
        </w:tc>
        <w:tc>
          <w:tcPr>
            <w:tcW w:w="2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1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19685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pacing w:after="0" w:line="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22860</wp:posOffset>
            </wp:positionV>
            <wp:extent cx="56578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1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18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17" w:lineRule="exact"/>
        <w:rPr>
          <w:sz w:val="24"/>
          <w:szCs w:val="24"/>
          <w:color w:val="auto"/>
        </w:rPr>
      </w:pPr>
    </w:p>
    <w:p>
      <w:pPr>
        <w:ind w:left="60" w:right="35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520" w:hanging="245"/>
        <w:spacing w:after="0"/>
        <w:tabs>
          <w:tab w:leader="none" w:pos="5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22"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65"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34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w:t>
            </w:r>
          </w:p>
        </w:tc>
        <w:tc>
          <w:tcPr>
            <w:tcW w:w="14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CVGW</w:t>
            </w:r>
          </w:p>
        </w:tc>
        <w:tc>
          <w:tcPr>
            <w:tcW w:w="140" w:type="dxa"/>
            <w:vAlign w:val="bottom"/>
          </w:tcPr>
          <w:p>
            <w:pPr>
              <w:spacing w:after="0"/>
              <w:rPr>
                <w:sz w:val="19"/>
                <w:szCs w:val="19"/>
                <w:color w:val="auto"/>
              </w:rPr>
            </w:pPr>
          </w:p>
        </w:tc>
        <w:tc>
          <w:tcPr>
            <w:tcW w:w="3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7" w:lineRule="exact"/>
        <w:rPr>
          <w:sz w:val="24"/>
          <w:szCs w:val="24"/>
          <w:color w:val="auto"/>
        </w:rPr>
      </w:pPr>
    </w:p>
    <w:p>
      <w:pPr>
        <w:ind w:left="7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left="60" w:right="159" w:firstLine="648"/>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539750</wp:posOffset>
            </wp:positionV>
            <wp:extent cx="565785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120015</wp:posOffset>
            </wp:positionV>
            <wp:extent cx="56578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162560</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58" w:right="1440" w:bottom="1440" w:gutter="0" w:footer="0" w:header="0"/>
        </w:sectPr>
      </w:pPr>
    </w:p>
    <w:bookmarkStart w:id="1" w:name="page2"/>
    <w:bookmarkEnd w:id="1"/>
    <w:p>
      <w:pPr>
        <w:ind w:left="60" w:right="499"/>
        <w:spacing w:after="0" w:line="252" w:lineRule="auto"/>
        <w:rPr>
          <w:sz w:val="20"/>
          <w:szCs w:val="20"/>
          <w:color w:val="auto"/>
        </w:rPr>
      </w:pPr>
      <w:r>
        <w:rPr>
          <w:rFonts w:ascii="Times New Roman" w:cs="Times New Roman" w:eastAsia="Times New Roman" w:hAnsi="Times New Roman"/>
          <w:sz w:val="20"/>
          <w:szCs w:val="20"/>
          <w:b w:val="1"/>
          <w:bCs w:val="1"/>
          <w:color w:val="auto"/>
        </w:rPr>
        <w:t xml:space="preserve">Item 5.02 </w:t>
      </w:r>
      <w:r>
        <w:rPr>
          <w:rFonts w:ascii="Times New Roman" w:cs="Times New Roman" w:eastAsia="Times New Roman" w:hAnsi="Times New Roman"/>
          <w:sz w:val="17"/>
          <w:szCs w:val="17"/>
          <w:b w:val="1"/>
          <w:bCs w:val="1"/>
          <w:color w:val="212529"/>
        </w:rPr>
        <w:t>Departure of Directors or Certain Officers; Election of Directors; Appointment of Certain Officers;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7"/>
          <w:szCs w:val="17"/>
          <w:b w:val="1"/>
          <w:bCs w:val="1"/>
          <w:color w:val="212529"/>
        </w:rPr>
        <w:t>Compensatory Arrangements of Certain Officers.</w:t>
      </w:r>
    </w:p>
    <w:p>
      <w:pPr>
        <w:spacing w:after="0" w:line="186" w:lineRule="exact"/>
        <w:rPr>
          <w:sz w:val="20"/>
          <w:szCs w:val="20"/>
          <w:color w:val="auto"/>
        </w:rPr>
      </w:pPr>
    </w:p>
    <w:p>
      <w:pPr>
        <w:ind w:left="60" w:right="519" w:firstLine="324"/>
        <w:spacing w:after="0" w:line="282" w:lineRule="auto"/>
        <w:rPr>
          <w:sz w:val="20"/>
          <w:szCs w:val="20"/>
          <w:color w:val="auto"/>
        </w:rPr>
      </w:pPr>
      <w:r>
        <w:rPr>
          <w:rFonts w:ascii="Times New Roman" w:cs="Times New Roman" w:eastAsia="Times New Roman" w:hAnsi="Times New Roman"/>
          <w:sz w:val="18"/>
          <w:szCs w:val="18"/>
          <w:color w:val="auto"/>
        </w:rPr>
        <w:t>On May 30, 2024, the Board of Directors of Calavo Growers, Inc. (“Calavo”) appointed B. John Lindeman as an independent member of its Board of Directors, effective June 3, 2024.</w:t>
      </w:r>
    </w:p>
    <w:p>
      <w:pPr>
        <w:spacing w:after="0" w:line="162" w:lineRule="exact"/>
        <w:rPr>
          <w:sz w:val="20"/>
          <w:szCs w:val="20"/>
          <w:color w:val="auto"/>
        </w:rPr>
      </w:pPr>
    </w:p>
    <w:p>
      <w:pPr>
        <w:ind w:left="60" w:right="179" w:firstLine="315"/>
        <w:spacing w:after="0" w:line="253" w:lineRule="auto"/>
        <w:rPr>
          <w:sz w:val="20"/>
          <w:szCs w:val="20"/>
          <w:color w:val="auto"/>
        </w:rPr>
      </w:pPr>
      <w:r>
        <w:rPr>
          <w:rFonts w:ascii="Times New Roman" w:cs="Times New Roman" w:eastAsia="Times New Roman" w:hAnsi="Times New Roman"/>
          <w:sz w:val="18"/>
          <w:szCs w:val="18"/>
          <w:color w:val="auto"/>
        </w:rPr>
        <w:t>Mr. Lindeman, age 54, has served since March 2020 as Executive Vice President and Chief Financial Officer of HydroFarm Holdings Group, Inc. (Nasdaq: HYFM), a leading manufacturer and distributor of branded hydroponics equipment and supplies for controlled environment agriculture, where he is responsible for accounting, finance, and information technology. Prior to joining HydroFarm, Lindeman served as Chief Financial Officer of Calavo from 2015 to 2020. Prior to joining Calavo, Mr. Lindeman held various leadership positions within the finance and investment banking industries, including serving as co-head of the consumer and retail group at Janney Montgomery Scott from 2009 to 2015, managing director at Stifel Nicolaus from 2005 to 2009 and principal at Legg Mason from 1999 to 2005. Prior to joining Legg Mason, he was a Manager at PricewaterhouseCoopers LLP from 1996 to 1999. Mr. Lindeman has also served as a director of Utz Brands, Inc. (NYSE: UTZ) since September 2020. Mr. Lindeman is a Chartered Financial Analyst and holds a B.S. in Business Administration from the University of Mary Washington.</w:t>
      </w:r>
    </w:p>
    <w:p>
      <w:pPr>
        <w:spacing w:after="0" w:line="194" w:lineRule="exact"/>
        <w:rPr>
          <w:sz w:val="20"/>
          <w:szCs w:val="20"/>
          <w:color w:val="auto"/>
        </w:rPr>
      </w:pPr>
    </w:p>
    <w:p>
      <w:pPr>
        <w:jc w:val="both"/>
        <w:ind w:left="60" w:right="619" w:firstLine="324"/>
        <w:spacing w:after="0" w:line="312" w:lineRule="auto"/>
        <w:rPr>
          <w:sz w:val="20"/>
          <w:szCs w:val="20"/>
          <w:color w:val="auto"/>
        </w:rPr>
      </w:pPr>
      <w:r>
        <w:rPr>
          <w:rFonts w:ascii="Times New Roman" w:cs="Times New Roman" w:eastAsia="Times New Roman" w:hAnsi="Times New Roman"/>
          <w:sz w:val="17"/>
          <w:szCs w:val="17"/>
          <w:color w:val="auto"/>
        </w:rPr>
        <w:t>In addition, Mr. Lindeman has been appointed to the Audit Committee of the Board of Directors. Following the appointment of Mr. Lindeman as an independent director, Calavo’s Board of Directors will consist of nine directors.</w:t>
      </w:r>
    </w:p>
    <w:p>
      <w:pPr>
        <w:spacing w:after="0" w:line="140" w:lineRule="exact"/>
        <w:rPr>
          <w:sz w:val="20"/>
          <w:szCs w:val="20"/>
          <w:color w:val="auto"/>
        </w:rPr>
      </w:pPr>
    </w:p>
    <w:p>
      <w:pPr>
        <w:ind w:left="60" w:right="79" w:firstLine="324"/>
        <w:spacing w:after="0" w:line="258" w:lineRule="auto"/>
        <w:rPr>
          <w:sz w:val="20"/>
          <w:szCs w:val="20"/>
          <w:color w:val="auto"/>
        </w:rPr>
      </w:pPr>
      <w:r>
        <w:rPr>
          <w:rFonts w:ascii="Times New Roman" w:cs="Times New Roman" w:eastAsia="Times New Roman" w:hAnsi="Times New Roman"/>
          <w:sz w:val="18"/>
          <w:szCs w:val="18"/>
          <w:color w:val="auto"/>
        </w:rPr>
        <w:t>Mr. Lindeman was not selected as a director pursuant to any arrangement or understanding between him and any other person. Mr. Lindeman has no direct or indirect material interest in any transaction required to be disclosed pursuant to Item 404(a) of Regulation S-K. Mr. Lindeman will participate in Calavo’s non-employee director compensation program, which is described in the Company’s Definitive Proxy Statement filed with the U.S. Securities and Exchange Commission on February 28, 2024.</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left="60" w:right="799" w:firstLine="324"/>
        <w:spacing w:after="0" w:line="282" w:lineRule="auto"/>
        <w:rPr>
          <w:sz w:val="20"/>
          <w:szCs w:val="20"/>
          <w:color w:val="auto"/>
        </w:rPr>
      </w:pPr>
      <w:r>
        <w:rPr>
          <w:rFonts w:ascii="Times New Roman" w:cs="Times New Roman" w:eastAsia="Times New Roman" w:hAnsi="Times New Roman"/>
          <w:sz w:val="18"/>
          <w:szCs w:val="18"/>
          <w:color w:val="auto"/>
        </w:rPr>
        <w:t>On June 4, 2024, Calavo issued a press release announcing the appointment of Mr. Lindeman to the Board of Directors. A copy of the press release is filed as Exhibit 99.1 hereto and incorporated herein by reference.</w:t>
      </w:r>
    </w:p>
    <w:p>
      <w:pPr>
        <w:spacing w:after="0" w:line="162" w:lineRule="exact"/>
        <w:rPr>
          <w:sz w:val="20"/>
          <w:szCs w:val="20"/>
          <w:color w:val="auto"/>
        </w:rPr>
      </w:pPr>
    </w:p>
    <w:p>
      <w:pPr>
        <w:ind w:left="60" w:right="79" w:firstLine="324"/>
        <w:spacing w:after="0" w:line="256" w:lineRule="auto"/>
        <w:rPr>
          <w:sz w:val="20"/>
          <w:szCs w:val="20"/>
          <w:color w:val="auto"/>
        </w:rPr>
      </w:pPr>
      <w:r>
        <w:rPr>
          <w:rFonts w:ascii="Times New Roman" w:cs="Times New Roman" w:eastAsia="Times New Roman" w:hAnsi="Times New Roman"/>
          <w:sz w:val="18"/>
          <w:szCs w:val="18"/>
          <w:color w:val="auto"/>
        </w:rPr>
        <w:t>In accordance with General Instruction B.2 of Form 8-K, Exhibit 99.1 is being furnished and shall not be deemed to be “filed” for purposes of Section 18 of the Securities Exchange Act of 1934, as amended (the “Exchange Act”), or otherwise subject to the liabilities of that section, and shall not be deemed to be incorporated by reference into any of Calavo’s filings under the Securities Act of 1933, as amended, or the Exchange Act, whether made before or after the date hereof and regardless of any general incorporation language in such filings, except to the extent expressly set forth by specific reference in such a filing.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89" w:lineRule="exact"/>
        <w:rPr>
          <w:sz w:val="20"/>
          <w:szCs w:val="20"/>
          <w:color w:val="auto"/>
        </w:rPr>
      </w:pPr>
    </w:p>
    <w:p>
      <w:pPr>
        <w:ind w:left="440" w:hanging="390"/>
        <w:spacing w:after="0"/>
        <w:tabs>
          <w:tab w:leader="none" w:pos="4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12" w:lineRule="exact"/>
        <w:rPr>
          <w:sz w:val="20"/>
          <w:szCs w:val="20"/>
          <w:color w:val="auto"/>
        </w:rPr>
      </w:pPr>
    </w:p>
    <w:p>
      <w:pPr>
        <w:ind w:left="440"/>
        <w:spacing w:after="0"/>
        <w:tabs>
          <w:tab w:leader="none" w:pos="15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June 4, 2024</w:t>
      </w:r>
    </w:p>
    <w:p>
      <w:pPr>
        <w:spacing w:after="0" w:line="27" w:lineRule="exact"/>
        <w:rPr>
          <w:sz w:val="20"/>
          <w:szCs w:val="20"/>
          <w:color w:val="auto"/>
        </w:rPr>
      </w:pPr>
    </w:p>
    <w:p>
      <w:pPr>
        <w:ind w:left="1580" w:hanging="1135"/>
        <w:spacing w:after="0"/>
        <w:tabs>
          <w:tab w:leader="none" w:pos="1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84" w:lineRule="exact"/>
        <w:rPr>
          <w:rFonts w:ascii="Times New Roman" w:cs="Times New Roman" w:eastAsia="Times New Roman" w:hAnsi="Times New Roman"/>
          <w:sz w:val="18"/>
          <w:szCs w:val="18"/>
          <w:color w:val="auto"/>
        </w:rPr>
      </w:pPr>
    </w:p>
    <w:p>
      <w:pPr>
        <w:ind w:left="4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319"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Calavo Growers, Inc.</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June 4, 2024</w:t>
      </w:r>
    </w:p>
    <w:p>
      <w:pPr>
        <w:spacing w:after="0" w:line="20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By:/s/ Shawn Munsell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17145</wp:posOffset>
            </wp:positionV>
            <wp:extent cx="25374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7"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Shawn Munsell</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3" w:name="page4"/>
    <w:bookmarkEnd w:id="3"/>
    <w:p>
      <w:pPr>
        <w:jc w:val="right"/>
        <w:ind w:right="219"/>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123825</wp:posOffset>
            </wp:positionV>
            <wp:extent cx="1765935" cy="9086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6593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Calibri" w:cs="Calibri" w:eastAsia="Calibri" w:hAnsi="Calibri"/>
          <w:sz w:val="25"/>
          <w:szCs w:val="25"/>
          <w:b w:val="1"/>
          <w:bCs w:val="1"/>
          <w:color w:val="auto"/>
        </w:rPr>
        <w:t>Calavo Growers Appoints John Lindeman to Board of Directors</w:t>
      </w:r>
    </w:p>
    <w:p>
      <w:pPr>
        <w:spacing w:after="0" w:line="184" w:lineRule="exact"/>
        <w:rPr>
          <w:sz w:val="20"/>
          <w:szCs w:val="20"/>
          <w:color w:val="auto"/>
        </w:rPr>
      </w:pPr>
    </w:p>
    <w:p>
      <w:pPr>
        <w:ind w:left="200" w:right="279"/>
        <w:spacing w:after="0" w:line="267" w:lineRule="auto"/>
        <w:rPr>
          <w:sz w:val="20"/>
          <w:szCs w:val="20"/>
          <w:color w:val="auto"/>
        </w:rPr>
      </w:pPr>
      <w:r>
        <w:rPr>
          <w:rFonts w:ascii="Calibri" w:cs="Calibri" w:eastAsia="Calibri" w:hAnsi="Calibri"/>
          <w:sz w:val="20"/>
          <w:szCs w:val="20"/>
          <w:b w:val="1"/>
          <w:bCs w:val="1"/>
          <w:color w:val="auto"/>
        </w:rPr>
        <w:t>SANTA PAULA, Calif., June 4, 2024</w:t>
      </w:r>
      <w:r>
        <w:rPr>
          <w:rFonts w:ascii="Calibri" w:cs="Calibri" w:eastAsia="Calibri" w:hAnsi="Calibri"/>
          <w:sz w:val="20"/>
          <w:szCs w:val="20"/>
          <w:color w:val="auto"/>
        </w:rPr>
        <w:t>—Calavo Growers, Inc. (Nasdaq-GS: CVGW), a global leader in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avocado and value-added fresh food industries, today announced the appointment of John Lindeman to its Board of Directors and Audit Commitee, efectve June 3, 2024.</w:t>
      </w:r>
    </w:p>
    <w:p>
      <w:pPr>
        <w:spacing w:after="0" w:line="144" w:lineRule="exact"/>
        <w:rPr>
          <w:sz w:val="20"/>
          <w:szCs w:val="20"/>
          <w:color w:val="auto"/>
        </w:rPr>
      </w:pPr>
    </w:p>
    <w:p>
      <w:pPr>
        <w:ind w:left="200" w:right="279" w:firstLine="46"/>
        <w:spacing w:after="0" w:line="266" w:lineRule="auto"/>
        <w:rPr>
          <w:sz w:val="20"/>
          <w:szCs w:val="20"/>
          <w:color w:val="auto"/>
        </w:rPr>
      </w:pPr>
      <w:r>
        <w:rPr>
          <w:rFonts w:ascii="Calibri" w:cs="Calibri" w:eastAsia="Calibri" w:hAnsi="Calibri"/>
          <w:sz w:val="20"/>
          <w:szCs w:val="20"/>
          <w:color w:val="auto"/>
        </w:rPr>
        <w:t>“We are excited to welcome John to our Board of Directors,” said Steven Hollister, Chairman of the Board of Directors of Calavo Growers. “John has extensive experience in corporate fnance, strategy, and leadership and has deep knowledge of Calavo and the avocado industry having served as Calavo’s Chief Financial Ofcer for several years. We welcome John back to the organizaton and look forward to his insight and contributons.”</w:t>
      </w:r>
    </w:p>
    <w:p>
      <w:pPr>
        <w:spacing w:after="0" w:line="146" w:lineRule="exact"/>
        <w:rPr>
          <w:sz w:val="20"/>
          <w:szCs w:val="20"/>
          <w:color w:val="auto"/>
        </w:rPr>
      </w:pPr>
    </w:p>
    <w:p>
      <w:pPr>
        <w:ind w:left="200" w:right="279"/>
        <w:spacing w:after="0" w:line="266" w:lineRule="auto"/>
        <w:rPr>
          <w:sz w:val="20"/>
          <w:szCs w:val="20"/>
          <w:color w:val="auto"/>
        </w:rPr>
      </w:pPr>
      <w:r>
        <w:rPr>
          <w:rFonts w:ascii="Calibri" w:cs="Calibri" w:eastAsia="Calibri" w:hAnsi="Calibri"/>
          <w:sz w:val="20"/>
          <w:szCs w:val="20"/>
          <w:color w:val="auto"/>
        </w:rPr>
        <w:t>Mr. Lindeman has served since March 2020 as Executve Vice President and Chief Financial Ofcer of Hydrofarm Holdings Group, Inc. (Nasdaq: HYFM), a leading manufacturer and distributor of branded hydroponics equipment and supplies for controlled environment agriculture, where he is responsible for accountng, fnance, and informaton technology. Prior to joining Hydrofarm, Mr. Lindeman served as Chief Financial Ofcer of Calavo Growers from 2015 to 2020.</w:t>
      </w:r>
    </w:p>
    <w:p>
      <w:pPr>
        <w:spacing w:after="0" w:line="146" w:lineRule="exact"/>
        <w:rPr>
          <w:sz w:val="20"/>
          <w:szCs w:val="20"/>
          <w:color w:val="auto"/>
        </w:rPr>
      </w:pPr>
    </w:p>
    <w:p>
      <w:pPr>
        <w:ind w:left="200" w:right="259"/>
        <w:spacing w:after="0" w:line="266" w:lineRule="auto"/>
        <w:rPr>
          <w:sz w:val="20"/>
          <w:szCs w:val="20"/>
          <w:color w:val="auto"/>
        </w:rPr>
      </w:pPr>
      <w:r>
        <w:rPr>
          <w:rFonts w:ascii="Calibri" w:cs="Calibri" w:eastAsia="Calibri" w:hAnsi="Calibri"/>
          <w:sz w:val="20"/>
          <w:szCs w:val="20"/>
          <w:color w:val="auto"/>
        </w:rPr>
        <w:t>Prior to joining Calavo, Mr. Lindeman held various leadership positons within the fnance and investment banking industries, including serving as managing director at Sageworth Trust Company, a family ofce and private trust company, managing director and co-head of the consumer and retail group at Janney Montgomery Scot, managing director at Stfel Nicolaus and principal at Legg Mason. Prior to joining Legg Mason, he was a Manager at PricewaterhouseCoopers LLP. Mr. Lindeman has also served as a director of Utz Brands, Inc. (NYSE: UTZ) since September 2020. Mr. Lindeman is a Chartered Financial Analyst and holds a Bachelor of Science in Business Administraton from the University of Mary Washington.</w:t>
      </w:r>
    </w:p>
    <w:p>
      <w:pPr>
        <w:spacing w:after="0" w:line="200" w:lineRule="exact"/>
        <w:rPr>
          <w:sz w:val="20"/>
          <w:szCs w:val="20"/>
          <w:color w:val="auto"/>
        </w:rPr>
      </w:pPr>
    </w:p>
    <w:p>
      <w:pPr>
        <w:spacing w:after="0" w:line="228" w:lineRule="exact"/>
        <w:rPr>
          <w:sz w:val="20"/>
          <w:szCs w:val="20"/>
          <w:color w:val="auto"/>
        </w:rPr>
      </w:pPr>
    </w:p>
    <w:p>
      <w:pPr>
        <w:ind w:left="200" w:right="239"/>
        <w:spacing w:after="0" w:line="255" w:lineRule="auto"/>
        <w:rPr>
          <w:sz w:val="20"/>
          <w:szCs w:val="20"/>
          <w:color w:val="auto"/>
        </w:rPr>
      </w:pPr>
      <w:r>
        <w:rPr>
          <w:rFonts w:ascii="Calibri" w:cs="Calibri" w:eastAsia="Calibri" w:hAnsi="Calibri"/>
          <w:sz w:val="20"/>
          <w:szCs w:val="20"/>
          <w:color w:val="auto"/>
        </w:rPr>
        <w:t>Following the appointment of John Lindeman as independent director, Calavo’s Board will consist of nine directors, eight of them independent.</w:t>
      </w:r>
    </w:p>
    <w:p>
      <w:pPr>
        <w:spacing w:after="0" w:line="147"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auto"/>
        </w:rPr>
        <w:t>About Calavo Growers, Inc.</w:t>
      </w:r>
    </w:p>
    <w:p>
      <w:pPr>
        <w:spacing w:after="0" w:line="49" w:lineRule="exact"/>
        <w:rPr>
          <w:sz w:val="20"/>
          <w:szCs w:val="20"/>
          <w:color w:val="auto"/>
        </w:rPr>
      </w:pPr>
    </w:p>
    <w:p>
      <w:pPr>
        <w:ind w:left="200" w:right="339"/>
        <w:spacing w:after="0" w:line="263" w:lineRule="auto"/>
        <w:rPr>
          <w:sz w:val="20"/>
          <w:szCs w:val="20"/>
          <w:color w:val="auto"/>
        </w:rPr>
      </w:pPr>
      <w:r>
        <w:rPr>
          <w:rFonts w:ascii="Calibri" w:cs="Calibri" w:eastAsia="Calibri" w:hAnsi="Calibri"/>
          <w:sz w:val="20"/>
          <w:szCs w:val="20"/>
          <w:color w:val="auto"/>
        </w:rPr>
        <w:t>Calavo Growers, Inc. (Nasdaq: CVGW) is a global leader in high quality produce, including avocados, tomatoes and papayas, and a pioneer of healthy fresh-cut fruit, vegetables and prepared foods. Calavo products are sold under the trusted Calavo brand name, proprietary sub-brands, private label and store brands. Founded in 1924, Calavo has a rich culture of innovaton, sustainable practces and market growth. The Company serves retail grocery, foodservice, club stores, mass merchandisers, food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357505</wp:posOffset>
            </wp:positionV>
            <wp:extent cx="54521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9" w:right="1440" w:bottom="1440" w:gutter="0" w:footer="0" w:header="0"/>
        </w:sectPr>
      </w:pPr>
    </w:p>
    <w:bookmarkStart w:id="4" w:name="page5"/>
    <w:bookmarkEnd w:id="4"/>
    <w:p>
      <w:pPr>
        <w:ind w:left="200" w:right="259"/>
        <w:spacing w:after="0" w:line="260" w:lineRule="auto"/>
        <w:rPr>
          <w:sz w:val="20"/>
          <w:szCs w:val="20"/>
          <w:color w:val="auto"/>
        </w:rPr>
      </w:pPr>
      <w:r>
        <w:rPr>
          <w:rFonts w:ascii="Calibri" w:cs="Calibri" w:eastAsia="Calibri" w:hAnsi="Calibri"/>
          <w:sz w:val="20"/>
          <w:szCs w:val="20"/>
          <w:color w:val="auto"/>
        </w:rPr>
        <w:t xml:space="preserve">distributors and wholesalers worldwide. Calavo is headquartered in Santa Paula, California, with processing plants and packing facilites throughout the U.S. and Mexico. Learn more about </w:t>
      </w:r>
      <w:r>
        <w:rPr>
          <w:rFonts w:ascii="Calibri" w:cs="Calibri" w:eastAsia="Calibri" w:hAnsi="Calibri"/>
          <w:sz w:val="20"/>
          <w:szCs w:val="20"/>
          <w:i w:val="1"/>
          <w:iCs w:val="1"/>
          <w:color w:val="auto"/>
        </w:rPr>
        <w:t>The Family of</w:t>
      </w:r>
      <w:r>
        <w:rPr>
          <w:rFonts w:ascii="Calibri" w:cs="Calibri" w:eastAsia="Calibri" w:hAnsi="Calibri"/>
          <w:sz w:val="20"/>
          <w:szCs w:val="20"/>
          <w:color w:val="auto"/>
        </w:rPr>
        <w:t xml:space="preserve"> </w:t>
      </w:r>
      <w:r>
        <w:rPr>
          <w:rFonts w:ascii="Calibri" w:cs="Calibri" w:eastAsia="Calibri" w:hAnsi="Calibri"/>
          <w:sz w:val="20"/>
          <w:szCs w:val="20"/>
          <w:i w:val="1"/>
          <w:iCs w:val="1"/>
          <w:color w:val="auto"/>
        </w:rPr>
        <w:t xml:space="preserve">Fresh™ </w:t>
      </w:r>
      <w:r>
        <w:rPr>
          <w:rFonts w:ascii="Calibri" w:cs="Calibri" w:eastAsia="Calibri" w:hAnsi="Calibri"/>
          <w:sz w:val="20"/>
          <w:szCs w:val="20"/>
          <w:color w:val="auto"/>
        </w:rPr>
        <w:t>at</w:t>
      </w:r>
      <w:r>
        <w:rPr>
          <w:rFonts w:ascii="Calibri" w:cs="Calibri" w:eastAsia="Calibri" w:hAnsi="Calibri"/>
          <w:sz w:val="20"/>
          <w:szCs w:val="20"/>
          <w:i w:val="1"/>
          <w:iCs w:val="1"/>
          <w:color w:val="auto"/>
        </w:rPr>
        <w:t xml:space="preserve"> </w:t>
      </w:r>
      <w:r>
        <w:rPr>
          <w:rFonts w:ascii="Calibri" w:cs="Calibri" w:eastAsia="Calibri" w:hAnsi="Calibri"/>
          <w:sz w:val="20"/>
          <w:szCs w:val="20"/>
          <w:b w:val="1"/>
          <w:bCs w:val="1"/>
          <w:color w:val="auto"/>
        </w:rPr>
        <w:t>calavo.com</w:t>
      </w:r>
      <w:r>
        <w:rPr>
          <w:rFonts w:ascii="Calibri" w:cs="Calibri" w:eastAsia="Calibri" w:hAnsi="Calibri"/>
          <w:sz w:val="20"/>
          <w:szCs w:val="20"/>
          <w:color w:val="auto"/>
        </w:rPr>
        <w:t>.</w:t>
      </w:r>
    </w:p>
    <w:p>
      <w:pPr>
        <w:spacing w:after="0" w:line="200" w:lineRule="exact"/>
        <w:rPr>
          <w:sz w:val="20"/>
          <w:szCs w:val="20"/>
          <w:color w:val="auto"/>
        </w:rPr>
      </w:pPr>
    </w:p>
    <w:p>
      <w:pPr>
        <w:spacing w:after="0" w:line="320" w:lineRule="exact"/>
        <w:rPr>
          <w:sz w:val="20"/>
          <w:szCs w:val="20"/>
          <w:color w:val="auto"/>
        </w:rPr>
      </w:pPr>
    </w:p>
    <w:p>
      <w:pPr>
        <w:ind w:left="300"/>
        <w:spacing w:after="0"/>
        <w:rPr>
          <w:sz w:val="20"/>
          <w:szCs w:val="20"/>
          <w:color w:val="auto"/>
        </w:rPr>
      </w:pPr>
      <w:r>
        <w:rPr>
          <w:rFonts w:ascii="Calibri" w:cs="Calibri" w:eastAsia="Calibri" w:hAnsi="Calibri"/>
          <w:sz w:val="20"/>
          <w:szCs w:val="20"/>
          <w:b w:val="1"/>
          <w:bCs w:val="1"/>
          <w:color w:val="auto"/>
        </w:rPr>
        <w:t>Investor Contact</w:t>
      </w:r>
    </w:p>
    <w:p>
      <w:pPr>
        <w:spacing w:after="0" w:line="26"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Julie Kegley, SVP</w:t>
      </w:r>
    </w:p>
    <w:p>
      <w:pPr>
        <w:spacing w:after="0" w:line="26"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Financial Profles, Inc.</w:t>
      </w:r>
    </w:p>
    <w:p>
      <w:pPr>
        <w:spacing w:after="0" w:line="26"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calavo@fnprofles.com</w:t>
      </w:r>
    </w:p>
    <w:p>
      <w:pPr>
        <w:spacing w:after="0" w:line="26" w:lineRule="exact"/>
        <w:rPr>
          <w:sz w:val="20"/>
          <w:szCs w:val="20"/>
          <w:color w:val="auto"/>
        </w:rPr>
      </w:pPr>
    </w:p>
    <w:p>
      <w:pPr>
        <w:ind w:left="300"/>
        <w:spacing w:after="0"/>
        <w:rPr>
          <w:sz w:val="20"/>
          <w:szCs w:val="20"/>
          <w:color w:val="auto"/>
        </w:rPr>
      </w:pPr>
      <w:r>
        <w:rPr>
          <w:rFonts w:ascii="Calibri" w:cs="Calibri" w:eastAsia="Calibri" w:hAnsi="Calibri"/>
          <w:sz w:val="20"/>
          <w:szCs w:val="20"/>
          <w:color w:val="auto"/>
        </w:rPr>
        <w:t>310-622-8246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526415</wp:posOffset>
            </wp:positionV>
            <wp:extent cx="545211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2024-06-04T16:33:12Z</dcterms:created>
  <dcterms:modified xsi:type="dcterms:W3CDTF">2024-06-04T16:33:12Z</dcterms:modified>
</cp:coreProperties>
</file>