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in equal increments on each anniversary date of the grant (i.e., May 21, 2008) over a five-year period, and each increment is exercisable for five years from its vesting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02/01/2018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2020-01-13T22:32:37Z</dcterms:created>
  <dcterms:modified xsi:type="dcterms:W3CDTF">2020-01-13T22:32:37Z</dcterms:modified>
</cp:coreProperties>
</file>