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January 14,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MISSION PRODUCE,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001-39561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95-3847744</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ind w:left="1300"/>
        <w:spacing w:after="0"/>
        <w:rPr>
          <w:sz w:val="20"/>
          <w:szCs w:val="20"/>
          <w:color w:val="auto"/>
        </w:rPr>
      </w:pPr>
      <w:r>
        <w:rPr>
          <w:rFonts w:ascii="Times New Roman" w:cs="Times New Roman" w:eastAsia="Times New Roman" w:hAnsi="Times New Roman"/>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70"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2"/>
          <w:szCs w:val="12"/>
          <w:b w:val="1"/>
          <w:bCs w:val="1"/>
          <w:color w:val="auto"/>
        </w:rPr>
        <w:t>2710 Camino Del Sol Oxnard,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93030</w:t>
      </w:r>
    </w:p>
    <w:p>
      <w:pPr>
        <w:spacing w:after="0" w:line="29"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(Zip code)</w:t>
      </w:r>
    </w:p>
    <w:p>
      <w:pPr>
        <w:spacing w:after="0" w:line="126" w:lineRule="exact"/>
        <w:rPr>
          <w:sz w:val="24"/>
          <w:szCs w:val="24"/>
          <w:color w:val="auto"/>
        </w:rPr>
      </w:pPr>
    </w:p>
    <w:p>
      <w:pPr>
        <w:sectPr>
          <w:pgSz w:w="11900" w:h="16838" w:orient="portrait"/>
          <w:cols w:equalWidth="0" w:num="2">
            <w:col w:w="5560" w:space="720"/>
            <w:col w:w="273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(805) 981-3650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AVO</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 Entry into a Material Definitive Agreement.</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On January 14, 2026, Mission Produce, Inc., a Delaware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entered into an Agreement and Plan of Merger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by and among Parent, Calavo Growers, Inc., a California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Cantaloupe Merger Sub I, Inc., a Delaware corporation and wholly owned subsidiary of Parent (“</w:t>
      </w:r>
      <w:r>
        <w:rPr>
          <w:rFonts w:ascii="Times New Roman" w:cs="Times New Roman" w:eastAsia="Times New Roman" w:hAnsi="Times New Roman"/>
          <w:sz w:val="13"/>
          <w:szCs w:val="13"/>
          <w:u w:val="single" w:color="auto"/>
          <w:color w:val="auto"/>
        </w:rPr>
        <w:t>Merger Sub I</w:t>
      </w:r>
      <w:r>
        <w:rPr>
          <w:rFonts w:ascii="Times New Roman" w:cs="Times New Roman" w:eastAsia="Times New Roman" w:hAnsi="Times New Roman"/>
          <w:sz w:val="13"/>
          <w:szCs w:val="13"/>
          <w:color w:val="auto"/>
        </w:rPr>
        <w:t>”) and Cantaloupe Merger Sub II, LLC, a Delaware limited liability company and a wholly owned subsidiary of Parent (“</w:t>
      </w:r>
      <w:r>
        <w:rPr>
          <w:rFonts w:ascii="Times New Roman" w:cs="Times New Roman" w:eastAsia="Times New Roman" w:hAnsi="Times New Roman"/>
          <w:sz w:val="13"/>
          <w:szCs w:val="13"/>
          <w:u w:val="single" w:color="auto"/>
          <w:color w:val="auto"/>
        </w:rPr>
        <w:t>Merger Sub II</w:t>
      </w:r>
      <w:r>
        <w:rPr>
          <w:rFonts w:ascii="Times New Roman" w:cs="Times New Roman" w:eastAsia="Times New Roman" w:hAnsi="Times New Roman"/>
          <w:sz w:val="13"/>
          <w:szCs w:val="13"/>
          <w:color w:val="auto"/>
        </w:rPr>
        <w:t>”), pursuant to which, subject to the terms and conditions of the Merger Agreement, (a) Merger Sub I will merge with and into the Company, pursuant to the provisions of the California Corporations Code, as amended (the “</w:t>
      </w:r>
      <w:r>
        <w:rPr>
          <w:rFonts w:ascii="Times New Roman" w:cs="Times New Roman" w:eastAsia="Times New Roman" w:hAnsi="Times New Roman"/>
          <w:sz w:val="13"/>
          <w:szCs w:val="13"/>
          <w:u w:val="single" w:color="auto"/>
          <w:color w:val="auto"/>
        </w:rPr>
        <w:t>CCC</w:t>
      </w:r>
      <w:r>
        <w:rPr>
          <w:rFonts w:ascii="Times New Roman" w:cs="Times New Roman" w:eastAsia="Times New Roman" w:hAnsi="Times New Roman"/>
          <w:sz w:val="13"/>
          <w:szCs w:val="13"/>
          <w:color w:val="auto"/>
        </w:rPr>
        <w:t>”) and the General Corporation Law of the State of Delaware, as amended (the “</w:t>
      </w:r>
      <w:r>
        <w:rPr>
          <w:rFonts w:ascii="Times New Roman" w:cs="Times New Roman" w:eastAsia="Times New Roman" w:hAnsi="Times New Roman"/>
          <w:sz w:val="13"/>
          <w:szCs w:val="13"/>
          <w:u w:val="single" w:color="auto"/>
          <w:color w:val="auto"/>
        </w:rPr>
        <w:t>DGCL</w:t>
      </w:r>
      <w:r>
        <w:rPr>
          <w:rFonts w:ascii="Times New Roman" w:cs="Times New Roman" w:eastAsia="Times New Roman" w:hAnsi="Times New Roman"/>
          <w:sz w:val="13"/>
          <w:szCs w:val="13"/>
          <w:color w:val="auto"/>
        </w:rPr>
        <w:t>”), with the Company as the surviving entity (the “</w:t>
      </w:r>
      <w:r>
        <w:rPr>
          <w:rFonts w:ascii="Times New Roman" w:cs="Times New Roman" w:eastAsia="Times New Roman" w:hAnsi="Times New Roman"/>
          <w:sz w:val="13"/>
          <w:szCs w:val="13"/>
          <w:u w:val="single" w:color="auto"/>
          <w:color w:val="auto"/>
        </w:rPr>
        <w:t>Surviving Corporation</w:t>
      </w:r>
      <w:r>
        <w:rPr>
          <w:rFonts w:ascii="Times New Roman" w:cs="Times New Roman" w:eastAsia="Times New Roman" w:hAnsi="Times New Roman"/>
          <w:sz w:val="13"/>
          <w:szCs w:val="13"/>
          <w:color w:val="auto"/>
        </w:rPr>
        <w:t>” and such transaction the “</w:t>
      </w:r>
      <w:r>
        <w:rPr>
          <w:rFonts w:ascii="Times New Roman" w:cs="Times New Roman" w:eastAsia="Times New Roman" w:hAnsi="Times New Roman"/>
          <w:sz w:val="13"/>
          <w:szCs w:val="13"/>
          <w:u w:val="single" w:color="auto"/>
          <w:color w:val="auto"/>
        </w:rPr>
        <w:t>First Merger</w:t>
      </w:r>
      <w:r>
        <w:rPr>
          <w:rFonts w:ascii="Times New Roman" w:cs="Times New Roman" w:eastAsia="Times New Roman" w:hAnsi="Times New Roman"/>
          <w:sz w:val="13"/>
          <w:szCs w:val="13"/>
          <w:color w:val="auto"/>
        </w:rPr>
        <w:t>”) and (b) immediately following the First Merger, the Surviving Corporation will merge with and into Merger Sub II, with Merger Sub II as the surviving entity (the “</w:t>
      </w:r>
      <w:r>
        <w:rPr>
          <w:rFonts w:ascii="Times New Roman" w:cs="Times New Roman" w:eastAsia="Times New Roman" w:hAnsi="Times New Roman"/>
          <w:sz w:val="13"/>
          <w:szCs w:val="13"/>
          <w:u w:val="single" w:color="auto"/>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 Liability Company Act, as amended (the “</w:t>
      </w:r>
      <w:r>
        <w:rPr>
          <w:rFonts w:ascii="Times New Roman" w:cs="Times New Roman" w:eastAsia="Times New Roman" w:hAnsi="Times New Roman"/>
          <w:sz w:val="13"/>
          <w:szCs w:val="13"/>
          <w:u w:val="single" w:color="auto"/>
          <w:color w:val="auto"/>
        </w:rPr>
        <w:t>DLLCA</w:t>
      </w:r>
      <w:r>
        <w:rPr>
          <w:rFonts w:ascii="Times New Roman" w:cs="Times New Roman" w:eastAsia="Times New Roman" w:hAnsi="Times New Roman"/>
          <w:sz w:val="13"/>
          <w:szCs w:val="13"/>
          <w:color w:val="auto"/>
        </w:rPr>
        <w:t>”) (such merger, the “</w:t>
      </w:r>
      <w:r>
        <w:rPr>
          <w:rFonts w:ascii="Times New Roman" w:cs="Times New Roman" w:eastAsia="Times New Roman" w:hAnsi="Times New Roman"/>
          <w:sz w:val="13"/>
          <w:szCs w:val="13"/>
          <w:u w:val="single" w:color="auto"/>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u w:val="single" w:color="auto"/>
          <w:color w:val="auto"/>
        </w:rPr>
        <w:t>Mergers</w:t>
      </w:r>
      <w:r>
        <w:rPr>
          <w:rFonts w:ascii="Times New Roman" w:cs="Times New Roman" w:eastAsia="Times New Roman" w:hAnsi="Times New Roman"/>
          <w:sz w:val="13"/>
          <w:szCs w:val="13"/>
          <w:color w:val="auto"/>
        </w:rPr>
        <w:t>”). All defined terms used in this summary of the Merger Agreement that are not otherwise defined herein have the meanings ascribed to such terms in the Merger Agreement.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The Mergers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date and time the First Merger becomes effective (the “</w:t>
      </w:r>
      <w:r>
        <w:rPr>
          <w:rFonts w:ascii="Times New Roman" w:cs="Times New Roman" w:eastAsia="Times New Roman" w:hAnsi="Times New Roman"/>
          <w:sz w:val="13"/>
          <w:szCs w:val="13"/>
          <w:u w:val="single" w:color="auto"/>
          <w:color w:val="auto"/>
        </w:rPr>
        <w:t>First Effective Time</w:t>
      </w:r>
      <w:r>
        <w:rPr>
          <w:rFonts w:ascii="Times New Roman" w:cs="Times New Roman" w:eastAsia="Times New Roman" w:hAnsi="Times New Roman"/>
          <w:sz w:val="13"/>
          <w:szCs w:val="13"/>
          <w:color w:val="auto"/>
        </w:rPr>
        <w:t>”), each share of common stock, par value $0.001 per share of the Company (the “</w:t>
      </w:r>
      <w:r>
        <w:rPr>
          <w:rFonts w:ascii="Times New Roman" w:cs="Times New Roman" w:eastAsia="Times New Roman" w:hAnsi="Times New Roman"/>
          <w:sz w:val="13"/>
          <w:szCs w:val="13"/>
          <w:u w:val="single" w:color="auto"/>
          <w:color w:val="auto"/>
        </w:rPr>
        <w:t>Company Common Stock</w:t>
      </w:r>
      <w:r>
        <w:rPr>
          <w:rFonts w:ascii="Times New Roman" w:cs="Times New Roman" w:eastAsia="Times New Roman" w:hAnsi="Times New Roman"/>
          <w:sz w:val="13"/>
          <w:szCs w:val="13"/>
          <w:color w:val="auto"/>
        </w:rPr>
        <w:t>”) issued and outstanding immediately prior to the First Effective Time will be converted into and thereafter represent the right to receive (i) a number of validly issued, fully paid and nonassessable shares of common stock, par value $0.001 per share, of Parent (the “</w:t>
      </w:r>
      <w:r>
        <w:rPr>
          <w:rFonts w:ascii="Times New Roman" w:cs="Times New Roman" w:eastAsia="Times New Roman" w:hAnsi="Times New Roman"/>
          <w:sz w:val="13"/>
          <w:szCs w:val="13"/>
          <w:u w:val="single" w:color="auto"/>
          <w:color w:val="auto"/>
        </w:rPr>
        <w:t>Parent Shares</w:t>
      </w:r>
      <w:r>
        <w:rPr>
          <w:rFonts w:ascii="Times New Roman" w:cs="Times New Roman" w:eastAsia="Times New Roman" w:hAnsi="Times New Roman"/>
          <w:sz w:val="13"/>
          <w:szCs w:val="13"/>
          <w:color w:val="auto"/>
        </w:rPr>
        <w:t>”) equal to 0.9790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and such shares the “</w:t>
      </w:r>
      <w:r>
        <w:rPr>
          <w:rFonts w:ascii="Times New Roman" w:cs="Times New Roman" w:eastAsia="Times New Roman" w:hAnsi="Times New Roman"/>
          <w:sz w:val="13"/>
          <w:szCs w:val="13"/>
          <w:u w:val="single" w:color="auto"/>
          <w:color w:val="auto"/>
        </w:rPr>
        <w:t>Per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Share Stock Consideration</w:t>
      </w:r>
      <w:r>
        <w:rPr>
          <w:rFonts w:ascii="Times New Roman" w:cs="Times New Roman" w:eastAsia="Times New Roman" w:hAnsi="Times New Roman"/>
          <w:sz w:val="13"/>
          <w:szCs w:val="13"/>
          <w:color w:val="auto"/>
        </w:rPr>
        <w:t>”), subject to the right to receive cash in lieu of fractional Parent Shares, if any, into which such shares of Company Common Stock have been converted (the “</w:t>
      </w:r>
      <w:r>
        <w:rPr>
          <w:rFonts w:ascii="Times New Roman" w:cs="Times New Roman" w:eastAsia="Times New Roman" w:hAnsi="Times New Roman"/>
          <w:sz w:val="13"/>
          <w:szCs w:val="13"/>
          <w:u w:val="single" w:color="auto"/>
          <w:color w:val="auto"/>
        </w:rPr>
        <w:t>Fractional Share Consideration</w:t>
      </w:r>
      <w:r>
        <w:rPr>
          <w:rFonts w:ascii="Times New Roman" w:cs="Times New Roman" w:eastAsia="Times New Roman" w:hAnsi="Times New Roman"/>
          <w:sz w:val="13"/>
          <w:szCs w:val="13"/>
          <w:color w:val="auto"/>
        </w:rPr>
        <w:t xml:space="preserve">”) and (ii) $14.85 in cash without interest (the </w:t>
      </w:r>
      <w:r>
        <w:rPr>
          <w:rFonts w:ascii="Times New Roman" w:cs="Times New Roman" w:eastAsia="Times New Roman" w:hAnsi="Times New Roman"/>
          <w:sz w:val="13"/>
          <w:szCs w:val="13"/>
          <w:u w:val="single" w:color="auto"/>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u w:val="single" w:color="auto"/>
          <w:color w:val="auto"/>
        </w:rPr>
        <w:t>Merger Consideration</w:t>
      </w:r>
      <w:r>
        <w:rPr>
          <w:rFonts w:ascii="Times New Roman" w:cs="Times New Roman" w:eastAsia="Times New Roman" w:hAnsi="Times New Roman"/>
          <w:sz w:val="13"/>
          <w:szCs w:val="13"/>
          <w:color w:val="auto"/>
        </w:rPr>
        <w:t>”). The Mergers, taken together, are intended to be treated as a single integrated transaction that qualifies as a “reorganization” under Section 368(a) of the Internal Revenue Code. To support the intended U.S. federal income tax treatment, if the stock portion of the total consideration would otherwise be less than 43% of the total value, a corresponding portion of the cash consideration will instead be paid in additional shares of Parent common stock valued at an agreed share price, with cash paid in lieu of any resulting fractional shares.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Treatment of Restricted Stock Units and Option Awards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Company Options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As of the First Effective Time, each option to purchase Company Common Stock (“</w:t>
      </w:r>
      <w:r>
        <w:rPr>
          <w:rFonts w:ascii="Times New Roman" w:cs="Times New Roman" w:eastAsia="Times New Roman" w:hAnsi="Times New Roman"/>
          <w:sz w:val="13"/>
          <w:szCs w:val="13"/>
          <w:u w:val="single" w:color="auto"/>
          <w:color w:val="auto"/>
        </w:rPr>
        <w:t>Company Options</w:t>
      </w:r>
      <w:r>
        <w:rPr>
          <w:rFonts w:ascii="Times New Roman" w:cs="Times New Roman" w:eastAsia="Times New Roman" w:hAnsi="Times New Roman"/>
          <w:sz w:val="13"/>
          <w:szCs w:val="13"/>
          <w:color w:val="auto"/>
        </w:rPr>
        <w:t>”) issued under the Company’s 2020 Equity</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Incentive Plan (the “</w:t>
      </w:r>
      <w:r>
        <w:rPr>
          <w:rFonts w:ascii="Times New Roman" w:cs="Times New Roman" w:eastAsia="Times New Roman" w:hAnsi="Times New Roman"/>
          <w:sz w:val="12"/>
          <w:szCs w:val="12"/>
          <w:u w:val="single" w:color="auto"/>
          <w:color w:val="auto"/>
        </w:rPr>
        <w:t>Company 2020 EIP</w:t>
      </w:r>
      <w:r>
        <w:rPr>
          <w:rFonts w:ascii="Times New Roman" w:cs="Times New Roman" w:eastAsia="Times New Roman" w:hAnsi="Times New Roman"/>
          <w:sz w:val="12"/>
          <w:szCs w:val="12"/>
          <w:color w:val="auto"/>
        </w:rPr>
        <w:t>”) and 2011 Management Incentive Plan, in each case as amended or restated from time to time (the “</w:t>
      </w:r>
      <w:r>
        <w:rPr>
          <w:rFonts w:ascii="Times New Roman" w:cs="Times New Roman" w:eastAsia="Times New Roman" w:hAnsi="Times New Roman"/>
          <w:sz w:val="12"/>
          <w:szCs w:val="12"/>
          <w:u w:val="single" w:color="auto"/>
          <w:color w:val="auto"/>
        </w:rPr>
        <w:t>Company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Equity Plans</w:t>
      </w:r>
      <w:r>
        <w:rPr>
          <w:rFonts w:ascii="Times New Roman" w:cs="Times New Roman" w:eastAsia="Times New Roman" w:hAnsi="Times New Roman"/>
          <w:sz w:val="13"/>
          <w:szCs w:val="13"/>
          <w:color w:val="auto"/>
        </w:rPr>
        <w:t>”), whether or not vested or exercisable, that is outstanding immediately prior to the First Effective Time and that has not been validly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exercised will automatically and without any action required by the holder become vested and exercisable in full and shall be cancelled as of the First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Effective Time and each holder of a cancelled Company Option will be entitled to receive from Parent or the Surviving Company, with respect to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shares of Company Common Stock that would have been issuable upon the exercise of such Company Option, an amount in cash without interest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 Consideration</w:t>
      </w:r>
      <w:r>
        <w:rPr>
          <w:rFonts w:ascii="Times New Roman" w:cs="Times New Roman" w:eastAsia="Times New Roman" w:hAnsi="Times New Roman"/>
          <w:sz w:val="12"/>
          <w:szCs w:val="12"/>
          <w:color w:val="auto"/>
        </w:rPr>
        <w:t>”) equal to the product of (x) the number of shares of Company Common Stock subject to the Company Option immediately prior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to the First Effective Time and (y) the excess if any of (1) the sum of (i) an amount equal to the product of (a) the Exchange Ratio and (b) the volume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weighted average price of the Parent Shares for the 30 consecutive trading days ending on the trading day immediately preceding the day on which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Mergers close, plus (ii) the Per Share Cash Consideration (such sum, the “</w:t>
      </w:r>
      <w:r>
        <w:rPr>
          <w:rFonts w:ascii="Times New Roman" w:cs="Times New Roman" w:eastAsia="Times New Roman" w:hAnsi="Times New Roman"/>
          <w:sz w:val="13"/>
          <w:szCs w:val="13"/>
          <w:u w:val="single" w:color="auto"/>
          <w:color w:val="auto"/>
        </w:rPr>
        <w:t>Merger Consideration Value</w:t>
      </w:r>
      <w:r>
        <w:rPr>
          <w:rFonts w:ascii="Times New Roman" w:cs="Times New Roman" w:eastAsia="Times New Roman" w:hAnsi="Times New Roman"/>
          <w:sz w:val="13"/>
          <w:szCs w:val="13"/>
          <w:color w:val="auto"/>
        </w:rPr>
        <w:t>”) over (2) the exercise price per share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Company Common Stock applicable to the Company Option. If the Merger Consideration Value is less than or equal to the exercise price per share of 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 Option, the Company Option shall be cancelled and terminated for no consideration.</w:t>
      </w:r>
    </w:p>
    <w:p>
      <w:pPr>
        <w:sectPr>
          <w:pgSz w:w="11900" w:h="16838" w:orient="portrait"/>
          <w:cols w:equalWidth="0" w:num="1">
            <w:col w:w="9019"/>
          </w:cols>
          <w:pgMar w:left="1440" w:top="229" w:right="1440" w:bottom="1440" w:gutter="0" w:footer="0" w:header="0"/>
        </w:sectPr>
      </w:pPr>
    </w:p>
    <w:bookmarkStart w:id="2" w:name="page3"/>
    <w:bookmarkEnd w:id="2"/>
    <w:p>
      <w:pPr>
        <w:ind w:left="640"/>
        <w:spacing w:after="0"/>
        <w:rPr>
          <w:sz w:val="20"/>
          <w:szCs w:val="20"/>
          <w:color w:val="auto"/>
        </w:rPr>
      </w:pPr>
      <w:r>
        <w:rPr>
          <w:rFonts w:ascii="Times New Roman" w:cs="Times New Roman" w:eastAsia="Times New Roman" w:hAnsi="Times New Roman"/>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 Restricted Stock Units</w:t>
      </w:r>
    </w:p>
    <w:p>
      <w:pPr>
        <w:spacing w:after="0" w:line="80"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As of the First Effective Time, each restricted stock unit granted pursuant to a Company Equity Plan (“</w:t>
      </w:r>
      <w:r>
        <w:rPr>
          <w:rFonts w:ascii="Times New Roman" w:cs="Times New Roman" w:eastAsia="Times New Roman" w:hAnsi="Times New Roman"/>
          <w:sz w:val="13"/>
          <w:szCs w:val="13"/>
          <w:u w:val="single" w:color="auto"/>
          <w:color w:val="auto"/>
        </w:rPr>
        <w:t>Company RSU</w:t>
      </w:r>
      <w:r>
        <w:rPr>
          <w:rFonts w:ascii="Times New Roman" w:cs="Times New Roman" w:eastAsia="Times New Roman" w:hAnsi="Times New Roman"/>
          <w:sz w:val="13"/>
          <w:szCs w:val="13"/>
          <w:color w:val="auto"/>
        </w:rPr>
        <w:t>”) that is outstanding immediately prior to the First Effective Time will automatically and without any action required by Parent, the Company, or the holder, vest in full (if unvested) and be cancelled as of the First Effective Time and each holder of a cancelled Company RSU will be entitled to receive from Parent or the Surviving Company, with respect to such shares of Company Common Stock, an amount in cash without interest (the “</w:t>
      </w:r>
      <w:r>
        <w:rPr>
          <w:rFonts w:ascii="Times New Roman" w:cs="Times New Roman" w:eastAsia="Times New Roman" w:hAnsi="Times New Roman"/>
          <w:sz w:val="13"/>
          <w:szCs w:val="13"/>
          <w:u w:val="single" w:color="auto"/>
          <w:color w:val="auto"/>
        </w:rPr>
        <w:t>RSU Consideration</w:t>
      </w:r>
      <w:r>
        <w:rPr>
          <w:rFonts w:ascii="Times New Roman" w:cs="Times New Roman" w:eastAsia="Times New Roman" w:hAnsi="Times New Roman"/>
          <w:sz w:val="13"/>
          <w:szCs w:val="13"/>
          <w:color w:val="auto"/>
        </w:rPr>
        <w:t>”) equal to the product of (x) the number of shares of Company Common Stock subject to the Company RSU as immediately prior to the First Effective Time and (y) the Merger Consideration Value.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Company Deferred Restricted Stock Units</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As of the First Effective Time, each Company RSU for which a deferral election has been made (“</w:t>
      </w:r>
      <w:r>
        <w:rPr>
          <w:rFonts w:ascii="Times New Roman" w:cs="Times New Roman" w:eastAsia="Times New Roman" w:hAnsi="Times New Roman"/>
          <w:sz w:val="13"/>
          <w:szCs w:val="13"/>
          <w:u w:val="single" w:color="auto"/>
          <w:color w:val="auto"/>
        </w:rPr>
        <w:t>Company Deferred RSU</w:t>
      </w:r>
      <w:r>
        <w:rPr>
          <w:rFonts w:ascii="Times New Roman" w:cs="Times New Roman" w:eastAsia="Times New Roman" w:hAnsi="Times New Roman"/>
          <w:sz w:val="13"/>
          <w:szCs w:val="13"/>
          <w:color w:val="auto"/>
        </w:rPr>
        <w:t>”) will automatically and without any action required by Parent, the Company or the holder be cancelled as of the First Effective Time and each holder of a cancelled Company Deferred RSU will become entitled to receive from Parent or the Surviving Company, with respect to shares of Company Common Stock subject to such cancelled Company Deferred RSU, an amount in cash without interest (the “</w:t>
      </w:r>
      <w:r>
        <w:rPr>
          <w:rFonts w:ascii="Times New Roman" w:cs="Times New Roman" w:eastAsia="Times New Roman" w:hAnsi="Times New Roman"/>
          <w:sz w:val="13"/>
          <w:szCs w:val="13"/>
          <w:u w:val="single" w:color="auto"/>
          <w:color w:val="auto"/>
        </w:rPr>
        <w:t>Deferred RSU Consideration</w:t>
      </w:r>
      <w:r>
        <w:rPr>
          <w:rFonts w:ascii="Times New Roman" w:cs="Times New Roman" w:eastAsia="Times New Roman" w:hAnsi="Times New Roman"/>
          <w:sz w:val="13"/>
          <w:szCs w:val="13"/>
          <w:color w:val="auto"/>
        </w:rPr>
        <w:t>”) equal to the product of (x) the number of shares of Company Common Stock subject to such Company Deferred RSU as of immediately prior to the First Effective Time and (y) the Merger Consideration Value. Prior to the closing of the Mergers and in accordance with Section 409A of the Internal Revenue Code of 1986, as amended and the regulations thereunder, each Company Deferred RSU will be vested in full and terminated by irrevocable action of the Company Board in return for the consideration specified in the Merger Agreement.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Certain Governance Matters</w:t>
      </w:r>
    </w:p>
    <w:p>
      <w:pPr>
        <w:spacing w:after="0" w:line="80" w:lineRule="exact"/>
        <w:rPr>
          <w:sz w:val="20"/>
          <w:szCs w:val="20"/>
          <w:color w:val="auto"/>
        </w:rPr>
      </w:pPr>
    </w:p>
    <w:p>
      <w:pPr>
        <w:ind w:left="640" w:right="679"/>
        <w:spacing w:after="0" w:line="279" w:lineRule="auto"/>
        <w:rPr>
          <w:sz w:val="20"/>
          <w:szCs w:val="20"/>
          <w:color w:val="auto"/>
        </w:rPr>
      </w:pPr>
      <w:r>
        <w:rPr>
          <w:rFonts w:ascii="Times New Roman" w:cs="Times New Roman" w:eastAsia="Times New Roman" w:hAnsi="Times New Roman"/>
          <w:sz w:val="12"/>
          <w:szCs w:val="12"/>
          <w:color w:val="auto"/>
        </w:rPr>
        <w:t>As of the First Effective Time, Parent shall cause one (1) director mutually agreeable to Parent and the Company to be appointed as a director of the board of directors of Parent (the “</w:t>
      </w:r>
      <w:r>
        <w:rPr>
          <w:rFonts w:ascii="Times New Roman" w:cs="Times New Roman" w:eastAsia="Times New Roman" w:hAnsi="Times New Roman"/>
          <w:sz w:val="12"/>
          <w:szCs w:val="12"/>
          <w:u w:val="single" w:color="auto"/>
          <w:color w:val="auto"/>
        </w:rPr>
        <w:t>Parent Board</w:t>
      </w:r>
      <w:r>
        <w:rPr>
          <w:rFonts w:ascii="Times New Roman" w:cs="Times New Roman" w:eastAsia="Times New Roman" w:hAnsi="Times New Roman"/>
          <w:sz w:val="12"/>
          <w:szCs w:val="12"/>
          <w:color w:val="auto"/>
        </w:rPr>
        <w:t>”) as a director in the class of directors with the longest remaining term as of the First Effective Time, who shall be a member of the board of directors of Company (the “</w:t>
      </w:r>
      <w:r>
        <w:rPr>
          <w:rFonts w:ascii="Times New Roman" w:cs="Times New Roman" w:eastAsia="Times New Roman" w:hAnsi="Times New Roman"/>
          <w:sz w:val="12"/>
          <w:szCs w:val="12"/>
          <w:u w:val="single" w:color="auto"/>
          <w:color w:val="auto"/>
        </w:rPr>
        <w:t>Company Board</w:t>
      </w:r>
      <w:r>
        <w:rPr>
          <w:rFonts w:ascii="Times New Roman" w:cs="Times New Roman" w:eastAsia="Times New Roman" w:hAnsi="Times New Roman"/>
          <w:sz w:val="12"/>
          <w:szCs w:val="12"/>
          <w:color w:val="auto"/>
        </w:rPr>
        <w:t>”) as of immediately prior to the First Effective Time and shall qualify as an “independent director” under the listing standards of Nasdaq and the applicable rules of the Securities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Conditions to the Merger</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Completion of the Mergers is subject to the mutual satisfaction or waiver of certain conditions, including (i) approval of the Merger Agreement and issuance of Parent shares in the First Merger (the “</w:t>
      </w:r>
      <w:r>
        <w:rPr>
          <w:rFonts w:ascii="Times New Roman" w:cs="Times New Roman" w:eastAsia="Times New Roman" w:hAnsi="Times New Roman"/>
          <w:sz w:val="13"/>
          <w:szCs w:val="13"/>
          <w:u w:val="single" w:color="auto"/>
          <w:color w:val="auto"/>
        </w:rPr>
        <w:t>Parent Share Issuance</w:t>
      </w:r>
      <w:r>
        <w:rPr>
          <w:rFonts w:ascii="Times New Roman" w:cs="Times New Roman" w:eastAsia="Times New Roman" w:hAnsi="Times New Roman"/>
          <w:sz w:val="13"/>
          <w:szCs w:val="13"/>
          <w:color w:val="auto"/>
        </w:rPr>
        <w:t>”) by the requisite vote of the shareholders and stockholders of Parent and the Company, respectively; (ii) (a) the expiration or termination of any waiting period or attainment of any clearance applicable to the consummation of the Mergers under the Hart-Scott-Rodino Antitrust Improvements Act of 1976, as amended, and any commitment to, or agreement with, any governmental authority to delay the consummation of, or not to consummate before a certain date, the Mergers and (b) any other applicable antitrust and foreign investment laws shall have expired, been terminated or been obtained; (iii) the absence of any law or order prohibiting the consummation of the Mergers; (iv) authorization for listing on Nasdaq of the Parent Shares to be issued in the First Merger and such other Parent Shares to be reserved for issuance in connection with the First Merger, subject to official notice of issuance; and (v) effectiveness of the Registration Statement on Form S-4 (such Form S-4, and any amendments or supplements thereto, the “</w:t>
      </w:r>
      <w:r>
        <w:rPr>
          <w:rFonts w:ascii="Times New Roman" w:cs="Times New Roman" w:eastAsia="Times New Roman" w:hAnsi="Times New Roman"/>
          <w:sz w:val="13"/>
          <w:szCs w:val="13"/>
          <w:u w:val="single" w:color="auto"/>
          <w:color w:val="auto"/>
        </w:rPr>
        <w:t>Form S-4</w:t>
      </w:r>
      <w:r>
        <w:rPr>
          <w:rFonts w:ascii="Times New Roman" w:cs="Times New Roman" w:eastAsia="Times New Roman" w:hAnsi="Times New Roman"/>
          <w:sz w:val="13"/>
          <w:szCs w:val="13"/>
          <w:color w:val="auto"/>
        </w:rPr>
        <w:t>”) under the Securities Act of 1933, as amended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for the Parent Shares to be issued in the First Merger. Each party’s obligation to complete the Mergers is also subject to certain additional customary conditions, including (i) subject to certain exceptions, the accuracy of the representations and warranties of the other party, (ii) performance in all material respects by the other party of its obligations under the Merger Agreement, (iii) receipt by such party of a certificate duly executed by a senior executive officer certifying to the effect that certain conditions set forth in the Merger Agreement have been satisfied, and (iv) receipt of a written opinion of the party’s counsel to the effect that, on the basis of facts, representations and assumptions set forth or referred to in such opinion, for U.S. federal income tax purposes the Mergers, taken together, will qualify for the intended tax treatment.</w:t>
      </w:r>
    </w:p>
    <w:p>
      <w:pPr>
        <w:sectPr>
          <w:pgSz w:w="11900" w:h="16838" w:orient="portrait"/>
          <w:cols w:equalWidth="0" w:num="1">
            <w:col w:w="9019"/>
          </w:cols>
          <w:pgMar w:left="1440" w:top="229" w:right="1440" w:bottom="1440" w:gutter="0" w:footer="0" w:header="0"/>
        </w:sectPr>
      </w:pPr>
    </w:p>
    <w:bookmarkStart w:id="3" w:name="page4"/>
    <w:bookmarkEnd w:id="3"/>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Warranties and Covenants</w:t>
      </w:r>
    </w:p>
    <w:p>
      <w:pPr>
        <w:spacing w:after="0" w:line="80"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Merger Agreement contains mutual customary representations and warranties of Parent and the Company relating to their respective businesses and public filings. The Merger Agreement also contains customary mutual pre-closing covenants, including the obligation of Parent and the Company to conduct their businesses in the ordinary course of business consistent with past practice and to refrain from taking certain specified actions without the consent of the other party.</w:t>
      </w:r>
    </w:p>
    <w:p>
      <w:pPr>
        <w:spacing w:after="0" w:line="133"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Parent and the Company have also agreed to customary non-solicitation obligations of the Company related to soliciting or engaging in any discussions, communications or negotiations regarding Competing Proposals (as defined in the Merger Agreement) and the Company Board to withdraw, withhold, qualify or modify its recommendation that the stockholders vote in favor of the Merger Agreement and First Merger (the “</w:t>
      </w:r>
      <w:r>
        <w:rPr>
          <w:rFonts w:ascii="Times New Roman" w:cs="Times New Roman" w:eastAsia="Times New Roman" w:hAnsi="Times New Roman"/>
          <w:sz w:val="13"/>
          <w:szCs w:val="13"/>
          <w:u w:val="single" w:color="auto"/>
          <w:color w:val="auto"/>
        </w:rPr>
        <w:t>Company Board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Recommendation</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ind w:left="640" w:right="1279"/>
        <w:spacing w:after="0" w:line="267" w:lineRule="auto"/>
        <w:rPr>
          <w:sz w:val="20"/>
          <w:szCs w:val="20"/>
          <w:color w:val="auto"/>
        </w:rPr>
      </w:pPr>
      <w:r>
        <w:rPr>
          <w:rFonts w:ascii="Times New Roman" w:cs="Times New Roman" w:eastAsia="Times New Roman" w:hAnsi="Times New Roman"/>
          <w:sz w:val="13"/>
          <w:szCs w:val="13"/>
          <w:color w:val="auto"/>
        </w:rPr>
        <w:t>Parent has also agreed to restrictions on the ability of the Parent Board to withdraw, withhold, qualify or modify its recommendation that the stockholders vote in favor of the Parent Share Issuance (the “</w:t>
      </w:r>
      <w:r>
        <w:rPr>
          <w:rFonts w:ascii="Times New Roman" w:cs="Times New Roman" w:eastAsia="Times New Roman" w:hAnsi="Times New Roman"/>
          <w:sz w:val="13"/>
          <w:szCs w:val="13"/>
          <w:u w:val="single" w:color="auto"/>
          <w:color w:val="auto"/>
        </w:rPr>
        <w:t>Parent Board Recommendation</w:t>
      </w:r>
      <w:r>
        <w:rPr>
          <w:rFonts w:ascii="Times New Roman" w:cs="Times New Roman" w:eastAsia="Times New Roman" w:hAnsi="Times New Roman"/>
          <w:sz w:val="13"/>
          <w:szCs w:val="13"/>
          <w:color w:val="auto"/>
        </w:rPr>
        <w: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Termination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The Merger Agreement contains provisions granting each of Parent and the Company the right to terminate the Merger Agreement by mutual written consent, or by either Parent or the Company, under specified circumstances, including: (i) if the First Merger is not completed on or before July 14, 2026 (the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(which date may be extended if the failure to close is due solely to any law or order under applicable antitrust law, for up to two periods, each of 90 days, in Parent’s sole discretion and upon written notice to the Company), subject to certain terms and conditions set forth in the Merger Agreement; (ii) if prior to the First Effective Time any governmental authority has enacted, issued, promulgated, enforced or entered any law, order or taken any other action permanently restraining, enjoining, rendering illegal or otherwise prohibiting the transactions contemplated by the Merger Agreement; (iii) if either party fails to obtain the requisite stockholder approval at a stockholder’s meeting duly convened or any adjournment or postponement thereof; (iv) if the other party has breached or failed to perform its representations, warranties, covenants or other agreements set forth in the Merger Agreement which breach or failure to perform would give rise to the failure of certain conditions under the Merger Agreement and is not capable of being cured or is not cured before the earlier of the Termination Date or 30 calendar days following delivery of written notice by the other party; (v) if the other party’s board of directors has failed to include the requisite board recommendation in the Joint Proxy Statement/Prospectus (as defined below); or (vi) if the other party materially breaches its non-solicitation obligations or restrictions on the party’s board of directors from changing its recommendation to the stockholders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as applicable. In addition, the Company may terminate the Merger Agreement if, prior to receipt of the requisite stockholder approval by the Company, the Company Board (or a committee thereof) shall have determined to terminate the Merger Agreement in order to concurrently with such termination enter into a definitive agreement with respect to a Superior Proposal (as defined in the Merger Agreement).</w:t>
      </w:r>
    </w:p>
    <w:p>
      <w:pPr>
        <w:spacing w:after="0" w:line="136"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The Company will be required to pay Parent a termination fee of approximately $12.87 million (the “</w:t>
      </w:r>
      <w:r>
        <w:rPr>
          <w:rFonts w:ascii="Times New Roman" w:cs="Times New Roman" w:eastAsia="Times New Roman" w:hAnsi="Times New Roman"/>
          <w:sz w:val="13"/>
          <w:szCs w:val="13"/>
          <w:u w:val="single" w:color="auto"/>
          <w:color w:val="auto"/>
        </w:rPr>
        <w:t>Termination Fee</w:t>
      </w:r>
      <w:r>
        <w:rPr>
          <w:rFonts w:ascii="Times New Roman" w:cs="Times New Roman" w:eastAsia="Times New Roman" w:hAnsi="Times New Roman"/>
          <w:sz w:val="13"/>
          <w:szCs w:val="13"/>
          <w:color w:val="auto"/>
        </w:rPr>
        <w:t>”) if the Merger Agreement is terminated as follows: (i) if the Merger Agreement is terminated (x) by either the Company or Parent upon the Company not having achieved the requisite stockholder approval at a time when the Merger Agreement was terminable by Parent when it was entitled to do so due to a change in the Company Board Recommendation, or (y) by Parent due to a change in the Company Board Recommendation or the Company having materially breached the non-solicit obligations related to soliciting or engaging in any discussions or negotiations regarding Competing Proposals; (ii) if the Merger Agreement is terminated by the Company because prior to obtaining the requisite stockholder approval the Company Board determined to terminate the Merger Agreement in order to concurrently with such termination enter into a definitive agreement with respect to a Superior Proposal; provided, the Company has complied with its non-solicitation obligations and pays the Termination Fee concurrently or prior to such termination; or (iii) if (x) the Merger Agreement is terminated (a) by Parent or the Company for failure of the Company to obtain the requisite stockholder approval, (b) by Parent for failure by the Company to perform any of its representations, warranties, covenants or other agreements set forth in the Merger Agreement, which breach or failure to perform is not capable of being cured or is not cured on or before the earlier of the Termination Date and within the 30 calendar days following delivery of notice or (c) because the First Merger is not completed by the Termination Date, subject to any extensions in accordance with the terms of the Merger Agreement; (y) in any such case a Competing Proposal shall have been publicly announced or, in the case of a termination pursuant to clause (ii)</w:t>
      </w:r>
    </w:p>
    <w:p>
      <w:pPr>
        <w:sectPr>
          <w:pgSz w:w="11900" w:h="16838" w:orient="portrait"/>
          <w:cols w:equalWidth="0" w:num="1">
            <w:col w:w="9019"/>
          </w:cols>
          <w:pgMar w:left="1440" w:top="229" w:right="1440" w:bottom="1440" w:gutter="0" w:footer="0" w:header="0"/>
        </w:sectPr>
      </w:pPr>
    </w:p>
    <w:bookmarkStart w:id="4" w:name="page5"/>
    <w:bookmarkEnd w:id="4"/>
    <w:p>
      <w:pPr>
        <w:ind w:left="640" w:right="69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or (iii) above, otherwise communicated to the Company Board (and in each case not withdrawn) after the date of the Merger Agreement and prior to the date of meeting of the Company’s shareholders, in the case of clause (i) above, or the date of termination, in the case of clauses (ii) and (iii) above; and</w:t>
      </w:r>
    </w:p>
    <w:p>
      <w:pPr>
        <w:spacing w:after="0" w:line="1" w:lineRule="exact"/>
        <w:rPr>
          <w:sz w:val="20"/>
          <w:szCs w:val="20"/>
          <w:color w:val="auto"/>
        </w:rPr>
      </w:pPr>
    </w:p>
    <w:p>
      <w:pPr>
        <w:ind w:left="640" w:right="679" w:hanging="3"/>
        <w:spacing w:after="0" w:line="246" w:lineRule="auto"/>
        <w:tabs>
          <w:tab w:leader="none" w:pos="812"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within twelve (12) months after the date of such termination, a transaction in respect of such Competing Proposal is consummated or the Company enters into a definitive agreement in respect of such Competing Proposal which is ultimately consummated.</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Parent will be required to pay the Company a reverse termination fee of approximately $15.02 million if the Merger Agreement is terminated as follows: if the Merger Agreement is terminated because (a) the First Merger is not completed by the Termination Date, subject to any extensions in accordance with the terms of the Merger Agreement, or (b) any governmental authority has enacted, issued, promulgated, enforced or entered any law or order or taken any other action permanently restraining, enjoining, rendering illegal or otherwise prohibiting the transactions contemplated by the Merger Agreement and all other conditions to closing are satisfied or waived. Parent will be required to pay the Company a reverse termination fee of $[__] if the Merger Agreement is terminated by (a) either the Company or Parent for failure of Parent to obtain the requisite stockholder approval at a time when the Merger Agreement is terminable by the Company for a change in the Parent Board Recommendation, or (b) by the Company due to a change in the Parent Board Recommendation.</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80" w:lineRule="exact"/>
        <w:rPr>
          <w:sz w:val="20"/>
          <w:szCs w:val="20"/>
          <w:color w:val="auto"/>
        </w:rPr>
      </w:pPr>
    </w:p>
    <w:p>
      <w:pPr>
        <w:ind w:left="640" w:right="1019"/>
        <w:spacing w:after="0" w:line="267" w:lineRule="auto"/>
        <w:rPr>
          <w:sz w:val="20"/>
          <w:szCs w:val="20"/>
          <w:color w:val="auto"/>
        </w:rPr>
      </w:pPr>
      <w:r>
        <w:rPr>
          <w:rFonts w:ascii="Times New Roman" w:cs="Times New Roman" w:eastAsia="Times New Roman" w:hAnsi="Times New Roman"/>
          <w:sz w:val="13"/>
          <w:szCs w:val="13"/>
          <w:color w:val="auto"/>
        </w:rPr>
        <w:t>The Merger Agreement is attached hereto as Exhibit 2.1 and is incorporated herein by reference. The foregoing description does not purport to be complete and is subject to and qualified in its entirety by reference to the Merger Agreement.</w:t>
      </w:r>
    </w:p>
    <w:p>
      <w:pPr>
        <w:spacing w:after="0" w:line="122"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The Merger Agreement has been included to provide security holders and investors with information regarding its terms. It is not intended to provide any other factual information about Parent, the Company, or any other person. The representations, warranties and covenants contained in the Merger Agreement were made solely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security holders. Security holders and investors are not third-party beneficiaries under the Merger Agreement and should not rely on the representations, warranties and covenants or any descriptions thereof as characterizations of the actual state of facts or condition of Parent or the Company. Moreover, information concerning the subject matter of the representations and warranties may change after the date of the Merger Agreement, which subsequent information may or may not be fully reflected in Parent’s or the Company’s public disclosures.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Investor Presentation</w:t>
      </w:r>
    </w:p>
    <w:p>
      <w:pPr>
        <w:spacing w:after="0" w:line="80"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In connection with the announcement of the Merger Agreement, Parent and the Company intend to provide supplemental information regarding the proposed transaction in connection with a presentation to analysts and investors. A copy of the investor presentation is attached hereto as Exhibit 99.1 and is incorporated herein by reference.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Press Release</w:t>
      </w:r>
    </w:p>
    <w:p>
      <w:pPr>
        <w:spacing w:after="0" w:line="80"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On January 14, 2026, Parent and the Company issued a joint press release announcing the execution of the Merger Agreement. A copy of the press release is attached hereto as Exhibit 99.2 and is incorporated herein by reference.</w:t>
      </w:r>
    </w:p>
    <w:p>
      <w:pPr>
        <w:spacing w:after="0" w:line="122" w:lineRule="exact"/>
        <w:rPr>
          <w:sz w:val="20"/>
          <w:szCs w:val="20"/>
          <w:color w:val="auto"/>
        </w:rPr>
      </w:pPr>
    </w:p>
    <w:p>
      <w:pPr>
        <w:ind w:left="640" w:right="859"/>
        <w:spacing w:after="0" w:line="255" w:lineRule="auto"/>
        <w:rPr>
          <w:sz w:val="20"/>
          <w:szCs w:val="20"/>
          <w:color w:val="auto"/>
        </w:rPr>
      </w:pPr>
      <w:r>
        <w:rPr>
          <w:rFonts w:ascii="Times New Roman" w:cs="Times New Roman" w:eastAsia="Times New Roman" w:hAnsi="Times New Roman"/>
          <w:sz w:val="13"/>
          <w:szCs w:val="13"/>
          <w:color w:val="auto"/>
        </w:rPr>
        <w:t>The information in this Item 7.01 and Exhibits 99.1 and 99.2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in such filing.</w:t>
      </w:r>
    </w:p>
    <w:p>
      <w:pPr>
        <w:sectPr>
          <w:pgSz w:w="11900" w:h="16838" w:orient="portrait"/>
          <w:cols w:equalWidth="0" w:num="1">
            <w:col w:w="9019"/>
          </w:cols>
          <w:pgMar w:left="1440" w:top="231" w:right="1440"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Parent’s and the Company’s current views about future events. Such forward-looking statements include, without limitation, statements about the benefits of the proposed transaction involving Parent and the Company, including future financial and operating results, Parent’s and the Company’s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Parent and Company stockholder approvals; the risk that Parent or the Company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Parent’s or Company’s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Parent or Company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Parent’s and the Company’s businesses.</w:t>
      </w:r>
    </w:p>
    <w:p>
      <w:pPr>
        <w:spacing w:after="0" w:line="283"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2"/>
          <w:szCs w:val="12"/>
          <w:color w:val="auto"/>
        </w:rPr>
        <w:t>All such factors are difficult to predict, are beyond Parent’s and the Company’s control, and are subject to additional risks and uncertainties, including those detailed in Parent’s most recent annual report on Form 10-K, quarterly reports on Form 10-Q, and current reports on Form 8-K that are available on Parent’s website at https://investors.missionproduce.com/financial-information/sec-filings and on the SEC’s website at http://www.sec.gov, and those detailed in the Company’s most recent annual report on Form 10-K, quarterly reports on Form 10-Q and current reports on Form 8-K that are available on the Company’s website at https://ir.calavo.com/financial-information/sec-filings and on the SEC’s website at http://www.sec.gov. Forward-looking statements are based on the estimates and opinions of management at the time the statements are made. Neither Parent nor the Company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ectPr>
          <w:pgSz w:w="11900" w:h="16838" w:orient="portrait"/>
          <w:cols w:equalWidth="0" w:num="1">
            <w:col w:w="9019"/>
          </w:cols>
          <w:pgMar w:left="1440" w:top="229"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WILL BE FILED WITH THE SEC</w:t>
      </w:r>
    </w:p>
    <w:p>
      <w:pPr>
        <w:spacing w:after="0" w:line="80"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Parent and the Company intend to file a joint proxy statement with the SEC and the Company intends to file with the SEC a registration statement on Form S-4 that will include the joint proxy statement of Parent and the Company and that will also constitute a prospectus (the “</w:t>
      </w:r>
      <w:r>
        <w:rPr>
          <w:rFonts w:ascii="Times New Roman" w:cs="Times New Roman" w:eastAsia="Times New Roman" w:hAnsi="Times New Roman"/>
          <w:sz w:val="13"/>
          <w:szCs w:val="13"/>
          <w:u w:val="single" w:color="auto"/>
          <w:color w:val="auto"/>
        </w:rPr>
        <w:t>Joint Proxy Statement/Prospectus</w:t>
      </w:r>
      <w:r>
        <w:rPr>
          <w:rFonts w:ascii="Times New Roman" w:cs="Times New Roman" w:eastAsia="Times New Roman" w:hAnsi="Times New Roman"/>
          <w:sz w:val="13"/>
          <w:szCs w:val="13"/>
          <w:color w:val="auto"/>
        </w:rPr>
        <w:t>”). Each of Parent and the Company may also file other relevant documents with the SEC regarding the proposed transaction. This document is not a substitute for the Joint Proxy Statement/Prospectus or registration statement or any other document that Parent or the Company may file with the SEC. The definitive Joint Proxy Statement/Prospectus (if and when available) will be mailed to stockholders of Parent and the Company.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PARENT, COMPANY AND THE PROPOSED TRANSACTION.</w:t>
      </w:r>
    </w:p>
    <w:p>
      <w:pPr>
        <w:spacing w:after="0" w:line="136" w:lineRule="exact"/>
        <w:rPr>
          <w:sz w:val="20"/>
          <w:szCs w:val="20"/>
          <w:color w:val="auto"/>
        </w:rPr>
      </w:pPr>
    </w:p>
    <w:p>
      <w:pPr>
        <w:ind w:left="640" w:right="679"/>
        <w:spacing w:after="0" w:line="269"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registration statement and Joint Proxy Statement/Prospectus (if and when available) and other documents containing important information about Parent, the Company and the proposed transaction, once such documents are filed with the SEC through the website maintained by the SEC at http://www.sec.gov. Copies of the Form S-4 and Joint Proxy Statement/Prospectus (if and when available) and other documents filed with the SEC by Parent may be obtained free of charge on Parent’s website at https://investors.missionproduce.com/financial-information/sec-filings or, alternatively, by directing a request by mail to Parent’s Corporate Secretary at Parent Attention: Corporate Secretary, Mission Produce, Inc. 2710 Camino Del Sol, Oxnard, CA 93030. Copies of the registration statement and Joint Proxy Statement/Prospectus (if and when available) and other documents filed with the SEC by the Company may be obtained free of charge on the Company’s website at https://ir.calavo.com/financial-information/sec-filings or, alternatively, by directing a request by mail to the Company’s Corporate Secretary at Company Attention: Corporate Secretary, Calavo Growers, Inc., 1141A Cummings Road, Santa Paula, CA 93060.</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Parent, the Company and certain of their respective directors and executive officers may be deemed to be participants in the solicitation of proxies in respect of the proposed transaction. Information about the directors and executive officers of Parent, including a description of their direct or indirect interests, by security holdings or otherwise, is set forth in Parent’s annual report on Form 10-K for the year ended October 31, 2025, and proxy statement for Parent’s 2025 Annual Meeting of Stockholders, which was filed with the SEC on February 25, 2025, including under the headings and subheadings “2024 Director Composition,” “Executive Compensation” and “Security Ownership of Certain Beneficial Owners and Management.” To the extent holdings of Parent Shares by the directors and executive officers of Parent have changed from the amounts reflected therein, such changes have been or will be reflected on Forms 3, Forms 4 or Forms 5, subsequently filed by Parent’s directors and executive officers with the SEC. Information about the directors and executive officers of the Company, including a description of their direct or indirect interests, by security holdings or otherwise, is set forth in Company’s annual report on Form 10-K for the year ended October 31, 2024, including under the heading “ Directors, Executive Officers, and Corporate Governance;” proxy statement for the Company’s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the Company’s current reports on Form 8-K filed on</w:t>
      </w:r>
    </w:p>
    <w:p>
      <w:pPr>
        <w:sectPr>
          <w:pgSz w:w="11900" w:h="16838" w:orient="portrait"/>
          <w:cols w:equalWidth="0" w:num="1">
            <w:col w:w="9019"/>
          </w:cols>
          <w:pgMar w:left="1440" w:top="229" w:right="1440" w:bottom="1440" w:gutter="0" w:footer="0" w:header="0"/>
        </w:sectPr>
      </w:pPr>
    </w:p>
    <w:bookmarkStart w:id="7" w:name="page8"/>
    <w:bookmarkEnd w:id="7"/>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November 13, 2025, November 25, 2025, and December 12, 2025. To the extent holdings of Company Common Stock by the directors and executive officers of the Company have changed from the amounts reflected therein, such changes have been or will be reflected on Initial Statements of Beneficial Ownership of Securities on Form 3 (“</w:t>
      </w:r>
      <w:r>
        <w:rPr>
          <w:rFonts w:ascii="Times New Roman" w:cs="Times New Roman" w:eastAsia="Times New Roman" w:hAnsi="Times New Roman"/>
          <w:sz w:val="13"/>
          <w:szCs w:val="13"/>
          <w:u w:val="single" w:color="auto"/>
          <w:color w:val="auto"/>
        </w:rPr>
        <w:t>Form 3</w:t>
      </w:r>
      <w:r>
        <w:rPr>
          <w:rFonts w:ascii="Times New Roman" w:cs="Times New Roman" w:eastAsia="Times New Roman" w:hAnsi="Times New Roman"/>
          <w:sz w:val="13"/>
          <w:szCs w:val="13"/>
          <w:color w:val="auto"/>
        </w:rPr>
        <w:t>”), Statements of Changes in Beneficial Ownership on Form 4 (“</w:t>
      </w:r>
      <w:r>
        <w:rPr>
          <w:rFonts w:ascii="Times New Roman" w:cs="Times New Roman" w:eastAsia="Times New Roman" w:hAnsi="Times New Roman"/>
          <w:sz w:val="13"/>
          <w:szCs w:val="13"/>
          <w:u w:val="single" w:color="auto"/>
          <w:color w:val="auto"/>
        </w:rPr>
        <w:t>Form 4</w:t>
      </w:r>
      <w:r>
        <w:rPr>
          <w:rFonts w:ascii="Times New Roman" w:cs="Times New Roman" w:eastAsia="Times New Roman" w:hAnsi="Times New Roman"/>
          <w:sz w:val="13"/>
          <w:szCs w:val="13"/>
          <w:color w:val="auto"/>
        </w:rPr>
        <w:t>”) or Annual Statements of Changes in Beneficial Ownership of Securities on Form 5 (“</w:t>
      </w:r>
      <w:r>
        <w:rPr>
          <w:rFonts w:ascii="Times New Roman" w:cs="Times New Roman" w:eastAsia="Times New Roman" w:hAnsi="Times New Roman"/>
          <w:sz w:val="13"/>
          <w:szCs w:val="13"/>
          <w:u w:val="single" w:color="auto"/>
          <w:color w:val="auto"/>
        </w:rPr>
        <w:t>Form 5</w:t>
      </w:r>
      <w:r>
        <w:rPr>
          <w:rFonts w:ascii="Times New Roman" w:cs="Times New Roman" w:eastAsia="Times New Roman" w:hAnsi="Times New Roman"/>
          <w:sz w:val="13"/>
          <w:szCs w:val="13"/>
          <w:color w:val="auto"/>
        </w:rPr>
        <w:t>”), subsequently filed by the Company’s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Parent or the Company using the sources indicated above.</w:t>
      </w:r>
    </w:p>
    <w:p>
      <w:pPr>
        <w:spacing w:after="0" w:line="240"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2.1*</w:t>
      </w:r>
      <w:r>
        <w:rPr>
          <w:sz w:val="20"/>
          <w:szCs w:val="20"/>
          <w:color w:val="auto"/>
        </w:rPr>
        <w:tab/>
      </w:r>
      <w:r>
        <w:rPr>
          <w:rFonts w:ascii="Times New Roman" w:cs="Times New Roman" w:eastAsia="Times New Roman" w:hAnsi="Times New Roman"/>
          <w:sz w:val="12"/>
          <w:szCs w:val="12"/>
          <w:color w:val="auto"/>
        </w:rPr>
        <w:t>Agreement and Plan of Merger, dated as of January 14, 2026, by and among Parent, Merger Sub I, Merger Sub II and the Company.</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color w:val="auto"/>
        </w:rPr>
        <w:t>Investor Presentation.</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color w:val="auto"/>
        </w:rPr>
        <w:t>Joint Press Release dated January 14, 2026.</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173" w:lineRule="exact"/>
        <w:rPr>
          <w:sz w:val="20"/>
          <w:szCs w:val="20"/>
          <w:color w:val="auto"/>
        </w:rPr>
      </w:pPr>
    </w:p>
    <w:p>
      <w:pPr>
        <w:ind w:left="780" w:right="819" w:hanging="143"/>
        <w:spacing w:after="0" w:line="267" w:lineRule="auto"/>
        <w:tabs>
          <w:tab w:leader="none" w:pos="7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schedules and exhibits have been omitted pursuant to Item 601(b)(2) of Regulation S-K. Parent agrees to furnish a copy of such schedules and exhibits, or any section thereof, to the SEC upon request.</w:t>
      </w:r>
    </w:p>
    <w:p>
      <w:pPr>
        <w:sectPr>
          <w:pgSz w:w="11900" w:h="16838" w:orient="portrait"/>
          <w:cols w:equalWidth="0" w:num="1">
            <w:col w:w="9019"/>
          </w:cols>
          <w:pgMar w:left="1440" w:top="231"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89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MISSION PRODUCE,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January 14,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Stephen J. Barnard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9019"/>
          </w:cols>
          <w:pgMar w:left="1440" w:top="229" w:right="1440" w:bottom="1440" w:gutter="0" w:footer="0" w:header="0"/>
        </w:sectPr>
      </w:pPr>
    </w:p>
    <w:bookmarkStart w:id="9" w:name="page10"/>
    <w:bookmarkEnd w:id="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AGREEMENT AND PLAN OF MERGER</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by and among</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January 14, 2026</w:t>
      </w:r>
    </w:p>
    <w:p>
      <w:pPr>
        <w:sectPr>
          <w:pgSz w:w="11900" w:h="16838" w:orient="portrait"/>
          <w:cols w:equalWidth="0" w:num="1">
            <w:col w:w="9019"/>
          </w:cols>
          <w:pgMar w:left="1440" w:top="229" w:right="1440" w:bottom="1440" w:gutter="0" w:footer="0" w:header="0"/>
        </w:sectPr>
      </w:pPr>
    </w:p>
    <w:bookmarkStart w:id="10" w:name="page11"/>
    <w:bookmarkEnd w:id="10"/>
    <w:tbl>
      <w:tblPr>
        <w:tblLayout w:type="fixed"/>
        <w:tblInd w:w="640" w:type="dxa"/>
        <w:tblCellMar>
          <w:top w:w="0" w:type="dxa"/>
          <w:left w:w="0" w:type="dxa"/>
          <w:bottom w:w="0" w:type="dxa"/>
          <w:right w:w="0" w:type="dxa"/>
        </w:tblCellMar>
      </w:tblPr>
      <w:tr>
        <w:trPr>
          <w:trHeight w:val="167"/>
        </w:trPr>
        <w:tc>
          <w:tcPr>
            <w:tcW w:w="800" w:type="dxa"/>
            <w:vAlign w:val="bottom"/>
          </w:tcPr>
          <w:p>
            <w:pPr>
              <w:spacing w:after="0"/>
              <w:rPr>
                <w:sz w:val="14"/>
                <w:szCs w:val="14"/>
                <w:color w:val="auto"/>
              </w:rPr>
            </w:pPr>
          </w:p>
        </w:tc>
        <w:tc>
          <w:tcPr>
            <w:tcW w:w="6100" w:type="dxa"/>
            <w:vAlign w:val="bottom"/>
          </w:tcPr>
          <w:p>
            <w:pPr>
              <w:ind w:left="238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800" w:type="dxa"/>
            <w:vAlign w:val="bottom"/>
          </w:tcPr>
          <w:p>
            <w:pPr>
              <w:spacing w:after="0"/>
              <w:rPr>
                <w:sz w:val="14"/>
                <w:szCs w:val="14"/>
                <w:color w:val="auto"/>
              </w:rPr>
            </w:pPr>
          </w:p>
        </w:tc>
      </w:tr>
      <w:tr>
        <w:trPr>
          <w:trHeight w:val="398"/>
        </w:trPr>
        <w:tc>
          <w:tcPr>
            <w:tcW w:w="8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w:t>
            </w:r>
          </w:p>
        </w:tc>
        <w:tc>
          <w:tcPr>
            <w:tcW w:w="800" w:type="dxa"/>
            <w:vAlign w:val="bottom"/>
          </w:tcPr>
          <w:p>
            <w:pPr>
              <w:spacing w:after="0"/>
              <w:rPr>
                <w:sz w:val="24"/>
                <w:szCs w:val="24"/>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DEFINITIONS</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Definitions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MERGERS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Mergers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The 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Effective Time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Certificate of Incorporation and Bylaws; Certificate of Formation and Operating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Board of Directors; Manager</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2.6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Officers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ARTICLE III</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EFFECT OF THE MERGERS ON EQUITY INTERESTS; EXCHANGE OF CERTIFICATES</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on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 and Issuance of Merger Consideration for Securities; Exchange of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Equity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Lost Certificates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Transfers; No Further Ownership Rights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3.6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Fractional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ARTICLE IV</w:t>
            </w:r>
          </w:p>
        </w:tc>
        <w:tc>
          <w:tcPr>
            <w:tcW w:w="8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REPRESENTATIONS AND WARRANTIES OF THE COMPANY</w:t>
            </w:r>
          </w:p>
        </w:tc>
        <w:tc>
          <w:tcPr>
            <w:tcW w:w="8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 Subsidiaries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4.4</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4.5</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4.6</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SEC Documents;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4.7</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4.8</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4.9</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4.10</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Undisclosed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4.11</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4.12</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4.13</w:t>
            </w:r>
          </w:p>
        </w:tc>
        <w:tc>
          <w:tcPr>
            <w:tcW w:w="6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Labor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9019"/>
          </w:cols>
          <w:pgMar w:left="1440" w:top="229"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Intellectual Property; IT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Data Privacy and 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Contracts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Real Property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4.19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Environmental</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Fairness Opinion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Insurance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Statutes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Affiliate Transactions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Anti-Bribery; Anti-Money Laundering; Sanctions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Ownership of 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Material Customers and Suppliers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4.29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Product Matters; Food Safety; Recalls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4.32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27"/>
        </w:trPr>
        <w:tc>
          <w:tcPr>
            <w:tcW w:w="800" w:type="dxa"/>
            <w:vAlign w:val="bottom"/>
          </w:tcPr>
          <w:p>
            <w:pPr>
              <w:spacing w:after="0"/>
              <w:rPr>
                <w:sz w:val="19"/>
                <w:szCs w:val="19"/>
                <w:color w:val="auto"/>
              </w:rPr>
            </w:pPr>
          </w:p>
        </w:tc>
        <w:tc>
          <w:tcPr>
            <w:tcW w:w="620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ARTICLE V</w:t>
            </w:r>
          </w:p>
        </w:tc>
        <w:tc>
          <w:tcPr>
            <w:tcW w:w="70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620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REPRESENTATIONS AND WARRANTIES OF PARENT, MERGER SUB I AND MERGER SUB II</w:t>
            </w:r>
          </w:p>
        </w:tc>
        <w:tc>
          <w:tcPr>
            <w:tcW w:w="70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Organization and Qualification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Authority Relative to Agreement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Conflict; Required Filings and Consents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Vote Required</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SEC Documents; Financial Statements; No Undisclosed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Disclosure 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5.9</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Absence of Certain Changes or Events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5.10</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Litigation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5.11</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Permits; Compliance with Laws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5.12</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Form S-4; Proxy Statement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5.13</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Sufficient Funds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5.14</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Capitalization of Merger Sub I and Merger Sub II</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5.15</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 Ownership</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5.16</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Brokers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5.17</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5.18</w:t>
            </w:r>
          </w:p>
        </w:tc>
        <w:tc>
          <w:tcPr>
            <w:tcW w:w="62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w:t>
      </w:r>
    </w:p>
    <w:p>
      <w:pPr>
        <w:sectPr>
          <w:pgSz w:w="11900" w:h="16838" w:orient="portrait"/>
          <w:cols w:equalWidth="0" w:num="1">
            <w:col w:w="9019"/>
          </w:cols>
          <w:pgMar w:left="1440" w:top="231" w:right="1440" w:bottom="1440" w:gutter="0" w:footer="0" w:header="0"/>
        </w:sectPr>
      </w:pPr>
    </w:p>
    <w:bookmarkStart w:id="12" w:name="page13"/>
    <w:bookmarkEnd w:id="12"/>
    <w:tbl>
      <w:tblPr>
        <w:tblLayout w:type="fixed"/>
        <w:tblInd w:w="64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4"/>
              </w:rPr>
              <w:t>ARTICLE VI</w:t>
            </w:r>
          </w:p>
        </w:tc>
        <w:tc>
          <w:tcPr>
            <w:tcW w:w="1120" w:type="dxa"/>
            <w:vAlign w:val="bottom"/>
          </w:tcPr>
          <w:p>
            <w:pPr>
              <w:spacing w:after="0"/>
              <w:rPr>
                <w:sz w:val="14"/>
                <w:szCs w:val="14"/>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COVENANTS AND AGREEMENTS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the Company Pending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Conduct of Business by Parent Pending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Preparation of the Joint Proxy Statement/Prospectus; Stockholders’ Meetings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Appropriate Action; Consents; Filings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Access to Information; Confidentiality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Company Non-Solicitation; Company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Parent Change in Recommendation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Directors’ and Officers’ Indemnification and 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Public Announcements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Employee Benefits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 Cooperation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Control of the Company’s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Rule 16b-3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Exchange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Director Resignations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6.17</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Takeover Laws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6.18</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Certain Litigation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6.19</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Treatment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6.20</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Payoff Letter Delivery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VII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7"/>
              </w:rPr>
              <w:t>CONDITIONS TO THE MERGERS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the Obligations of Each Party</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Obligations of Parent, Merger Sub I and Merger Sub II to Effect the Mergers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7.3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Conditions to Obligation of the Company to Effect the First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ARTICLE VIII</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6"/>
              </w:rPr>
              <w:t>TERMINATION, AMENDMENT AND WAIVER</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Effect of Termination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Termination Fees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8.4</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Amendment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8.5</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Extension;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8.6</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27"/>
        </w:trPr>
        <w:tc>
          <w:tcPr>
            <w:tcW w:w="800" w:type="dxa"/>
            <w:vAlign w:val="bottom"/>
          </w:tcPr>
          <w:p>
            <w:pPr>
              <w:spacing w:after="0"/>
              <w:rPr>
                <w:sz w:val="19"/>
                <w:szCs w:val="19"/>
                <w:color w:val="auto"/>
              </w:rPr>
            </w:pPr>
          </w:p>
        </w:tc>
        <w:tc>
          <w:tcPr>
            <w:tcW w:w="578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7"/>
              </w:rPr>
              <w:t>ARTICLE IX</w:t>
            </w:r>
          </w:p>
        </w:tc>
        <w:tc>
          <w:tcPr>
            <w:tcW w:w="1120" w:type="dxa"/>
            <w:vAlign w:val="bottom"/>
          </w:tcPr>
          <w:p>
            <w:pPr>
              <w:spacing w:after="0"/>
              <w:rPr>
                <w:sz w:val="19"/>
                <w:szCs w:val="19"/>
                <w:color w:val="auto"/>
              </w:rPr>
            </w:pPr>
          </w:p>
        </w:tc>
      </w:tr>
      <w:tr>
        <w:trPr>
          <w:trHeight w:val="227"/>
        </w:trPr>
        <w:tc>
          <w:tcPr>
            <w:tcW w:w="800" w:type="dxa"/>
            <w:vAlign w:val="bottom"/>
          </w:tcPr>
          <w:p>
            <w:pPr>
              <w:spacing w:after="0"/>
              <w:rPr>
                <w:sz w:val="19"/>
                <w:szCs w:val="19"/>
                <w:color w:val="auto"/>
              </w:rPr>
            </w:pPr>
          </w:p>
        </w:tc>
        <w:tc>
          <w:tcPr>
            <w:tcW w:w="578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GENERAL PROVISIONS</w:t>
            </w:r>
          </w:p>
        </w:tc>
        <w:tc>
          <w:tcPr>
            <w:tcW w:w="1120" w:type="dxa"/>
            <w:vAlign w:val="bottom"/>
          </w:tcPr>
          <w:p>
            <w:pPr>
              <w:spacing w:after="0"/>
              <w:rPr>
                <w:sz w:val="19"/>
                <w:szCs w:val="19"/>
                <w:color w:val="auto"/>
              </w:rPr>
            </w:pPr>
          </w:p>
        </w:tc>
      </w:tr>
      <w:tr>
        <w:trPr>
          <w:trHeight w:val="21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Non-Survival of Representations, Warranties and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9.2</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Notices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9.3</w:t>
            </w:r>
          </w:p>
        </w:tc>
        <w:tc>
          <w:tcPr>
            <w:tcW w:w="5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Interpretation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ectPr>
          <w:pgSz w:w="11900" w:h="16838" w:orient="portrait"/>
          <w:cols w:equalWidth="0" w:num="1">
            <w:col w:w="9019"/>
          </w:cols>
          <w:pgMar w:left="1440" w:top="307"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9.4</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Severability</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9.5</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Assignment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9.6</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Entire Agreement</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9.7</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9.8</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Governing Law</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9.9</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Specific Performance</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9.10</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Consent to Jurisdiction</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52"/>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9.11</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Counterparts</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Section 9.12</w:t>
            </w:r>
          </w:p>
        </w:tc>
        <w:tc>
          <w:tcPr>
            <w:tcW w:w="2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WAIVER OF JURY TRIAL</w:t>
            </w: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303"/>
        </w:trPr>
        <w:tc>
          <w:tcPr>
            <w:tcW w:w="800" w:type="dxa"/>
            <w:vAlign w:val="bottom"/>
          </w:tcPr>
          <w:p>
            <w:pPr>
              <w:spacing w:after="0"/>
              <w:rPr>
                <w:sz w:val="20"/>
                <w:szCs w:val="20"/>
                <w:color w:val="auto"/>
              </w:rPr>
            </w:pPr>
            <w:r>
              <w:rPr>
                <w:rFonts w:ascii="Times New Roman" w:cs="Times New Roman" w:eastAsia="Times New Roman" w:hAnsi="Times New Roman"/>
                <w:sz w:val="13"/>
                <w:szCs w:val="13"/>
                <w:color w:val="auto"/>
              </w:rPr>
              <w:t>Appendix A</w:t>
            </w:r>
          </w:p>
        </w:tc>
        <w:tc>
          <w:tcPr>
            <w:tcW w:w="2340" w:type="dxa"/>
            <w:vAlign w:val="bottom"/>
          </w:tcPr>
          <w:p>
            <w:pPr>
              <w:spacing w:after="0"/>
              <w:rPr>
                <w:sz w:val="24"/>
                <w:szCs w:val="24"/>
                <w:color w:val="auto"/>
              </w:rPr>
            </w:pPr>
          </w:p>
        </w:tc>
        <w:tc>
          <w:tcPr>
            <w:tcW w:w="4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A-1</w:t>
            </w:r>
          </w:p>
        </w:tc>
      </w:tr>
      <w:tr>
        <w:trPr>
          <w:trHeight w:val="256"/>
        </w:trPr>
        <w:tc>
          <w:tcPr>
            <w:tcW w:w="8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560" w:type="dxa"/>
            <w:vAlign w:val="bottom"/>
          </w:tcPr>
          <w:p>
            <w:pPr>
              <w:jc w:val="right"/>
              <w:ind w:right="3717"/>
              <w:spacing w:after="0"/>
              <w:rPr>
                <w:sz w:val="20"/>
                <w:szCs w:val="20"/>
                <w:color w:val="auto"/>
              </w:rPr>
            </w:pPr>
            <w:r>
              <w:rPr>
                <w:rFonts w:ascii="Times New Roman" w:cs="Times New Roman" w:eastAsia="Times New Roman" w:hAnsi="Times New Roman"/>
                <w:sz w:val="13"/>
                <w:szCs w:val="13"/>
                <w:color w:val="auto"/>
              </w:rPr>
              <w:t>iv</w:t>
            </w:r>
          </w:p>
        </w:tc>
      </w:tr>
    </w:tbl>
    <w:p>
      <w:pPr>
        <w:jc w:val="right"/>
        <w:ind w:right="3717"/>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4" w:name="page15"/>
    <w:bookmarkEnd w:id="14"/>
    <w:p>
      <w:pPr>
        <w:ind w:left="640" w:right="8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AND PLAN OF MERGER, dated as of January 14, 2026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made by and among Mission Produce, Inc., a Delaware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Cantaloupe Merger Sub I, Inc., a Delaware corporation and a wholly owned Subsidiary of Parent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Sub I</w:t>
      </w:r>
      <w:r>
        <w:rPr>
          <w:rFonts w:ascii="Times New Roman" w:cs="Times New Roman" w:eastAsia="Times New Roman" w:hAnsi="Times New Roman"/>
          <w:sz w:val="13"/>
          <w:szCs w:val="13"/>
          <w:color w:val="auto"/>
        </w:rPr>
        <w:t>”), Cantaloupe Merger Sub II, LLC, a Delaware limited liability company and a wholly owned Subsidiary of Parent (“</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Calavo Growers, Inc., a California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u w:val="single" w:color="auto"/>
          <w:color w:val="auto"/>
        </w:rPr>
        <w:t>W I T N E S</w:t>
      </w:r>
      <w:r>
        <w:rPr>
          <w:rFonts w:ascii="Times New Roman" w:cs="Times New Roman" w:eastAsia="Times New Roman" w:hAnsi="Times New Roman"/>
          <w:sz w:val="13"/>
          <w:szCs w:val="13"/>
          <w:color w:val="auto"/>
        </w:rPr>
        <w:t xml:space="preserve"> S </w:t>
      </w:r>
      <w:r>
        <w:rPr>
          <w:rFonts w:ascii="Times New Roman" w:cs="Times New Roman" w:eastAsia="Times New Roman" w:hAnsi="Times New Roman"/>
          <w:sz w:val="13"/>
          <w:szCs w:val="13"/>
          <w:u w:val="single" w:color="auto"/>
          <w:color w:val="auto"/>
        </w:rPr>
        <w:t>E T H</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WHEREAS, the board of directors of the Company (the “</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has unanimously (a) approved this Agreement, the mergers of</w:t>
      </w:r>
    </w:p>
    <w:p>
      <w:pPr>
        <w:spacing w:after="0" w:line="17" w:lineRule="exact"/>
        <w:rPr>
          <w:sz w:val="20"/>
          <w:szCs w:val="20"/>
          <w:color w:val="auto"/>
        </w:rPr>
      </w:pPr>
    </w:p>
    <w:p>
      <w:pPr>
        <w:ind w:left="640" w:right="659" w:hanging="3"/>
        <w:spacing w:after="0" w:line="243" w:lineRule="auto"/>
        <w:tabs>
          <w:tab w:leader="none" w:pos="791"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Merger Sub I with and into the Company, with the Company surviving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pursuant to the provisions of the California Corporations Code, as amended (the “</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and the General Corporation Law of the State of Delaware, as amended (the “</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and upon the terms and subject to the conditions set forth in this Agreement, (ii) immediately following the First Merger, the merger of the Company with and into Merger Sub II, with Merger Sub II surviving (such second step merger,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and the other transactions contemplated hereby, (b) determined that the Mergers and the other transactions contemplated hereby, taken together, are advisable, fair to and in the best interests of the Company and its stockholders, (c) directed that the adoption of this Agreement be submitted to a vote at a meeting of the Company’s stockholders and (d) subject to the terms of this Agreement, resolved to recommend the adoption of this Agreement by the Company’s stockholders;</w:t>
      </w:r>
    </w:p>
    <w:p>
      <w:pPr>
        <w:spacing w:after="0" w:line="141"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WHEREAS, it is desired that the First Merger be effectuated and result in the Company surviving the First Merger as a wholly owned Subsidiary of Parent (the “</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in accordance with the applicable provisions of the CCC and the DGCL and upon the terms and subject to the conditions set forth in this Agreement;</w:t>
      </w:r>
    </w:p>
    <w:p>
      <w:pPr>
        <w:spacing w:after="0" w:line="13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immediately following the First Merger, the Second Merger shall occur whereby the Surviving Corporation shall merge with and into Merger Sub II, with Merger Sub II surviving the merger as a wholly owned Subsidiary of Parent (the “</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in accordance with the applicable provisions of the CCC, the DGCL and the Delaware Limited Liability Company Act (the “</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and upon the terms and subject to the conditions set forth in this Agreement;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WHEREAS, (i) the board of directors of Parent (“</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and the board of directors of Merger Sub I and Merger Sub II have each</w:t>
      </w:r>
    </w:p>
    <w:p>
      <w:pPr>
        <w:spacing w:after="0" w:line="17" w:lineRule="exact"/>
        <w:rPr>
          <w:sz w:val="20"/>
          <w:szCs w:val="20"/>
          <w:color w:val="auto"/>
        </w:rPr>
      </w:pPr>
    </w:p>
    <w:p>
      <w:pPr>
        <w:ind w:left="640" w:right="779" w:hanging="3"/>
        <w:spacing w:after="0" w:line="244" w:lineRule="auto"/>
        <w:tabs>
          <w:tab w:leader="none" w:pos="81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this Agreement, the Mergers and the other transactions contemplated hereby, (b) determined that the Mergers and the other transactions contemplated hereby, taken together, are advisable, fair to and in the best interests of Parent, Merger Sub I, Merger Sub II and their respective stockholders, (ii) the boards of directors of Merger Sub I and Merger Sub II have recommended the approval of this Agreement by Parent, as the sole owner of the Equity Interests of Merger Sub I and Merger Sub II, (iii) the Parent Board has directed that the approval pursuant to Listing Rule 5635 of the Nasdaq Stock Market LLC (“</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of the issuance of Parent Shares pursuant to the First Merger be submitted to a vote at a meeting of Parent’s stockholders, and (iv) subject to the terms of this Agreement, the Parent Board has resolved to recommend the approval of the issuance of Parent Shares pursuant to the First Merger by Parent’s stockholders;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15" w:name="page16"/>
    <w:bookmarkEnd w:id="15"/>
    <w:p>
      <w:pPr>
        <w:ind w:left="640" w:right="123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WHEREAS, Parent, acting in its capacity as the sole owner of the Equity Interests of Merger Sub I and Merger Sub II, has adopted this Agreement and the consummation of the transactions contemplated hereby, including the Mergers;</w:t>
      </w:r>
    </w:p>
    <w:p>
      <w:pPr>
        <w:spacing w:after="0" w:line="122"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WHEREAS, for U.S. federal income Tax purposes, Parent, Merger Sub I, Merger Sub II and the Company intend that the Mergers, taken together, will be treated as a single integrated transaction that qualifies as a “reorganization” within the meaning of Section 368(a) of the Code, and the Treasury Regulations promulgated thereunder (the “</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and this Agreement is intended to be and is adopted as a “plan of reorganization” within the meaning of Treasury Regulations Section 1.368-2(g) and for purposes of Sections 354 and 361 of the Code; and</w:t>
      </w:r>
    </w:p>
    <w:p>
      <w:pPr>
        <w:spacing w:after="0" w:line="133" w:lineRule="exact"/>
        <w:rPr>
          <w:sz w:val="20"/>
          <w:szCs w:val="20"/>
          <w:color w:val="auto"/>
        </w:rPr>
      </w:pPr>
    </w:p>
    <w:p>
      <w:pPr>
        <w:ind w:left="640" w:right="939" w:firstLine="309"/>
        <w:spacing w:after="0" w:line="267" w:lineRule="auto"/>
        <w:rPr>
          <w:sz w:val="20"/>
          <w:szCs w:val="20"/>
          <w:color w:val="auto"/>
        </w:rPr>
      </w:pPr>
      <w:r>
        <w:rPr>
          <w:rFonts w:ascii="Times New Roman" w:cs="Times New Roman" w:eastAsia="Times New Roman" w:hAnsi="Times New Roman"/>
          <w:sz w:val="13"/>
          <w:szCs w:val="13"/>
          <w:color w:val="auto"/>
        </w:rPr>
        <w:t>WHEREAS, each of Parent, Merger Sub I, Merger Sub II and the Company desire to make certain representations, warranties, covenants and agreements in connection with the Mergers and also to prescribe various conditions to the Mergers.</w:t>
      </w:r>
    </w:p>
    <w:p>
      <w:pPr>
        <w:spacing w:after="0" w:line="122"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NOW, THEREFORE, in consideration of the foregoing and the representations, warranties and covenants and subject to the conditions herein contained, and intending to be legally bound hereby, the parties hereto hereby agree as follows: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DEFINITIONS</w:t>
      </w:r>
    </w:p>
    <w:p>
      <w:pPr>
        <w:spacing w:after="0" w:line="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xml:space="preserve">. Defined terms used in this Agreement have the respective meanings ascribed to them by definition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THE MERGERS</w:t>
      </w:r>
    </w:p>
    <w:p>
      <w:pPr>
        <w:spacing w:after="0" w:line="80" w:lineRule="exact"/>
        <w:rPr>
          <w:sz w:val="20"/>
          <w:szCs w:val="20"/>
          <w:color w:val="auto"/>
        </w:rPr>
      </w:pPr>
    </w:p>
    <w:p>
      <w:pPr>
        <w:ind w:left="640" w:right="71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2.1 </w:t>
      </w:r>
      <w:r>
        <w:rPr>
          <w:rFonts w:ascii="Times New Roman" w:cs="Times New Roman" w:eastAsia="Times New Roman" w:hAnsi="Times New Roman"/>
          <w:sz w:val="12"/>
          <w:szCs w:val="12"/>
          <w:u w:val="single" w:color="auto"/>
          <w:color w:val="auto"/>
        </w:rPr>
        <w:t>The Mergers</w:t>
      </w:r>
      <w:r>
        <w:rPr>
          <w:rFonts w:ascii="Times New Roman" w:cs="Times New Roman" w:eastAsia="Times New Roman" w:hAnsi="Times New Roman"/>
          <w:sz w:val="12"/>
          <w:szCs w:val="12"/>
          <w:color w:val="auto"/>
        </w:rPr>
        <w:t>. Upon the terms and subject to the conditions of this Agreement, and in accordance with the CCC and the DGCL, at the First Effective Time, Merger Sub I shall be merged with and into the Company, and the separate existence of Merger Sub I shall cease. The Company will become a wholly owned Subsidiary of Parent and will continue as the Surviving Corporation in the First Merger. Upon the terms and subject to the conditions set forth in this Agreement, immediately following the First Effective Time and as part of a single integrated transaction, at the Second Effective Time, the Surviving Corporation shall be merged with and into Merger Sub II, and the separate existence of the Surviving Corporation shall cease. Merger Sub II will be a wholly owned Subsidiary of Parent and will continue as the Surviving Company in the Second Merger.</w:t>
      </w:r>
    </w:p>
    <w:p>
      <w:pPr>
        <w:spacing w:after="0" w:line="121" w:lineRule="exact"/>
        <w:rPr>
          <w:sz w:val="20"/>
          <w:szCs w:val="20"/>
          <w:color w:val="auto"/>
        </w:rPr>
      </w:pPr>
    </w:p>
    <w:p>
      <w:pPr>
        <w:ind w:left="640" w:right="719" w:firstLine="309"/>
        <w:spacing w:after="0" w:line="232" w:lineRule="auto"/>
        <w:rPr>
          <w:sz w:val="20"/>
          <w:szCs w:val="20"/>
          <w:color w:val="auto"/>
        </w:rPr>
      </w:pPr>
      <w:r>
        <w:rPr>
          <w:rFonts w:ascii="Times New Roman" w:cs="Times New Roman" w:eastAsia="Times New Roman" w:hAnsi="Times New Roman"/>
          <w:sz w:val="13"/>
          <w:szCs w:val="13"/>
          <w:color w:val="auto"/>
        </w:rPr>
        <w:t xml:space="preserve">Section 2.2 </w:t>
      </w:r>
      <w:r>
        <w:rPr>
          <w:rFonts w:ascii="Times New Roman" w:cs="Times New Roman" w:eastAsia="Times New Roman" w:hAnsi="Times New Roman"/>
          <w:sz w:val="13"/>
          <w:szCs w:val="13"/>
          <w:u w:val="single" w:color="auto"/>
          <w:color w:val="auto"/>
        </w:rPr>
        <w:t>The Closing</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the closing of the First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shall take place at 9:00 a.m. (New York City time) on a date to be specified by the Company and Parent, but no later than the third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3"/>
          <w:szCs w:val="13"/>
          <w:color w:val="auto"/>
        </w:rPr>
        <w:t xml:space="preserve">) Business Day after the satisfaction or, to the extent not prohibited by Law, waiver of all of the conditions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those conditions that by their terms are to be satisfied at the Closing, but subject to the satisfaction or, to the extent not prohibited by Law, waiver of such conditions), and the Closing shall take place by the electronic exchange of signatures and documents, unless another time, date or place is agreed to in writing by the Company and Parent (such date being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6" w:name="page17"/>
    <w:bookmarkEnd w:id="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2.3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Concurrently with the Closing, each of the Company, Parent and Merger Sub I shall cause a certificate of merger with respect to the First Merger (the “</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to be executed, acknowledged, delivered to and filed with the Office of the Secretary of State of the State of California (the “</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as provided under the CCC and the Secretary of State of the State of Delaware as provided under the DGCL. The First Merger shall become effective on the date and time at which the Certificate of First Merger has been accepted for filing by the Secretary (such date and time of filing, or such later time as may be agreed to by Parent, Merger Sub I and the Company and set forth in the Certificate of First Merger, being hereinafter referred to as the “</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Immediately following the First Effective Time, each of the Surviving Corporation, Parent and Merger Sub II shall cause a certificate of merger with respect to the Second Merger (the “</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and collectively with the First Certificate of Merger, the “</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to be executed, acknowledged, delivered to and filed with the Secretary as provided under the CCC and the Secretary of State of the State of Delaware as provided under the DGCL. The Second Merger shall become effective on the date and time at which the Certificate of Second Merger has been accepted for filing by the Secretary (such date and time of filing, or such later time as may be agreed to by Parent, Merger Sub II and the Surviving Corporation and set forth in the Certificate of Second Merger, being hereinafter referred to as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Mergers shall have the effects set forth in the applicable provisions of the CCC, the DGCL and the DLLCA, this Agreement and the Certificates of Merger. Without limiting the generality of the foregoing, from and after the First Effective Time, the Surviving Corporation shall possess all properties, rights, privileges, powers and franchises of the Company and Merger Sub I, and all of the claims, obligations, liabilities, debts and duties of the Company and Merger Sub I shall become the claims, obligations, liabilities, debts and duties of the Surviving Corporation. Without limiting the generality of the foregoing, from and after the Second Effective Time, the Surviving Company shall possess all properties, rights, privileges, powers and franchises of the Surviving Corporation and Merger Sub II, and all of the claims, obligations, liabilities, debts and duties of the Surviving Corporation and Merger Sub II shall become the claims, obligations, liabilities, debts and duties of the Surviving Company.</w:t>
      </w:r>
    </w:p>
    <w:p>
      <w:pPr>
        <w:spacing w:after="0" w:line="13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2.4 </w:t>
      </w:r>
      <w:r>
        <w:rPr>
          <w:rFonts w:ascii="Times New Roman" w:cs="Times New Roman" w:eastAsia="Times New Roman" w:hAnsi="Times New Roman"/>
          <w:sz w:val="13"/>
          <w:szCs w:val="13"/>
          <w:u w:val="single" w:color="auto"/>
          <w:color w:val="auto"/>
        </w:rPr>
        <w:t>Certificate of Incorporation and Bylaws; Certificate of Formation and Operating Agreement</w:t>
      </w:r>
      <w:r>
        <w:rPr>
          <w:rFonts w:ascii="Times New Roman" w:cs="Times New Roman" w:eastAsia="Times New Roman" w:hAnsi="Times New Roman"/>
          <w:sz w:val="13"/>
          <w:szCs w:val="13"/>
          <w:color w:val="auto"/>
        </w:rPr>
        <w:t>. At the First Effective Time, by virtue of the First Merger and without necessity of further action by the Company or any other Person, the certificate of incorporation and bylaws of the Surviving Corporation shall be amended and restated to be identical to the certificate of incorporation and bylaws of Merger Sub I, until thereafter amended in accordance with the applicable provisions of the certificate of incorporation and bylaws of the Surviving Corporation and the CCC. At the Second Effective Time, by virtue of the Second Merger and without necessity of further action by the Surviving Corporation or any other Person, the certificate of formation and operating agreement of Merger Sub II shall be the certificate of formation and operating agreement of the Surviving Company, until thereafter amended in accordance with the applicable provisions of the certificate of formation and operating agreement of the Surviving Company and the DLLCA.</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7" w:name="page18"/>
    <w:bookmarkEnd w:id="1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2.5 </w:t>
      </w:r>
      <w:r>
        <w:rPr>
          <w:rFonts w:ascii="Times New Roman" w:cs="Times New Roman" w:eastAsia="Times New Roman" w:hAnsi="Times New Roman"/>
          <w:sz w:val="13"/>
          <w:szCs w:val="13"/>
          <w:u w:val="single" w:color="auto"/>
          <w:color w:val="auto"/>
        </w:rPr>
        <w:t>Board of Directors; Manager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8" w:lineRule="auto"/>
        <w:tabs>
          <w:tab w:leader="none" w:pos="150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 the Company and the Surviving Corporation shall take all necessary action such that the board of directors of the Surviving Corporation effective as of, and immediately following, the First Effective Time shall consist of the members of the board of directors of Merger Sub I immediately prior to the First Effective Time or such other individuals designated by Parent at the First Effective Time, each to hold office in accordance with the certificate of incorporation and bylaws of the Surviving Corporation until their respective successors shall have been duly elected, designated and qualified, or until their earlier death, resignation or removal in accordance with the certificate of incorporation and bylaws of the Surviving Corporation.</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515"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Second Effective Time, Merger Sub II and the Surviving Corporation shall take all necessary action such that the manager of the Surviving Company effective as of, and immediately following, the Second Effective Time shall consist of the manager of Merger Sub II immediately prior to the Second Effective Time or such other individual designated by Parent at the Second Effective Time, to hold office in accordance with the certificate of formation and operating agreement of the Surviving Company until his or her respective successor shall have been duly elected, designated and qualified, or until his or her earlier death, resignation or removal in accordance with the certificate of formation and operating agreement of the Surviving Company.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0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as of the First Effective Time, Parent shall cause one (1) director designated by mutual agreement of the Company and Parent prior to the First Effective Time to be appointed as a director of the Parent Board, in the class of directors of the Parent Board with the longest remaining term as of the First Effective Time, who shall be a member of the Company Board as of immediately prior to the First Effective Time and shall qualify as an “independent director” under the listing standards of NASDAQ and the applicable rules of the SEC. At least two (2) Business Days prior to the Closing, Parent shall deliver to the Company a resolution of the Parent Board evidencing the appointment to the Parent Board of such member of the Company Board, together with a certificate of the corporate secretary of Parent certifying as to the due adoption and effectiveness of such resolution as of the Closing.</w:t>
      </w:r>
    </w:p>
    <w:p>
      <w:pPr>
        <w:spacing w:after="0" w:line="136" w:lineRule="exact"/>
        <w:rPr>
          <w:sz w:val="20"/>
          <w:szCs w:val="20"/>
          <w:color w:val="auto"/>
        </w:rPr>
      </w:pPr>
    </w:p>
    <w:p>
      <w:pPr>
        <w:ind w:left="640" w:right="6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2.6 </w:t>
      </w:r>
      <w:r>
        <w:rPr>
          <w:rFonts w:ascii="Times New Roman" w:cs="Times New Roman" w:eastAsia="Times New Roman" w:hAnsi="Times New Roman"/>
          <w:sz w:val="12"/>
          <w:szCs w:val="12"/>
          <w:u w:val="single" w:color="auto"/>
          <w:color w:val="auto"/>
        </w:rPr>
        <w:t>Officers</w:t>
      </w:r>
      <w:r>
        <w:rPr>
          <w:rFonts w:ascii="Times New Roman" w:cs="Times New Roman" w:eastAsia="Times New Roman" w:hAnsi="Times New Roman"/>
          <w:sz w:val="12"/>
          <w:szCs w:val="12"/>
          <w:color w:val="auto"/>
        </w:rPr>
        <w:t>. From and after the First Effective Time, until successors are duly elected or appointed and qualified in accordance with the certificate of incorporation and bylaws of the Surviving Corporation and applicable Law, the officers of the Company immediately prior to the First Effective Time or such other individuals designated by Parent as of the First Effective Time shall be the officers of the Surviving Corporation. From and after the Second Effective Time, until successors are duly elected or appointed and qualified in accordance with the certificate of formation and operating agreement of the Surviving Company and applicable Law, the officers of the Surviving Company immediately prior to the Second Effective Time or such other individuals designated by Parent as of the Second Effective Time shall be the officers of the Surviving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III</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EFFECT OF THE MERGERS ON EQUITY INTERESTS; EXCHANGE OF CERTIFICATES</w:t>
      </w:r>
    </w:p>
    <w:p>
      <w:pPr>
        <w:spacing w:after="0" w:line="80" w:lineRule="exact"/>
        <w:rPr>
          <w:sz w:val="20"/>
          <w:szCs w:val="20"/>
          <w:color w:val="auto"/>
        </w:rPr>
      </w:pPr>
    </w:p>
    <w:p>
      <w:pPr>
        <w:ind w:left="640" w:right="87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3.1 </w:t>
      </w:r>
      <w:r>
        <w:rPr>
          <w:rFonts w:ascii="Times New Roman" w:cs="Times New Roman" w:eastAsia="Times New Roman" w:hAnsi="Times New Roman"/>
          <w:sz w:val="13"/>
          <w:szCs w:val="13"/>
          <w:u w:val="single" w:color="auto"/>
          <w:color w:val="auto"/>
        </w:rPr>
        <w:t>Effect on Securities</w:t>
      </w:r>
      <w:r>
        <w:rPr>
          <w:rFonts w:ascii="Times New Roman" w:cs="Times New Roman" w:eastAsia="Times New Roman" w:hAnsi="Times New Roman"/>
          <w:sz w:val="13"/>
          <w:szCs w:val="13"/>
          <w:color w:val="auto"/>
        </w:rPr>
        <w:t xml:space="preserve">. At the First Effective Time (or such other time specified in this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by virtue of the First Merger and without any action on the part of the Company, Parent, Merger Sub I or any holder of any securities of the Company or Merger Sub I or any other Person, the following shall occur:</w:t>
      </w:r>
    </w:p>
    <w:p>
      <w:pPr>
        <w:spacing w:after="0" w:line="130" w:lineRule="exact"/>
        <w:rPr>
          <w:sz w:val="20"/>
          <w:szCs w:val="20"/>
          <w:color w:val="auto"/>
        </w:rPr>
      </w:pPr>
    </w:p>
    <w:p>
      <w:pPr>
        <w:ind w:left="640" w:right="659" w:firstLine="693"/>
        <w:spacing w:after="0" w:line="249" w:lineRule="auto"/>
        <w:tabs>
          <w:tab w:leader="none" w:pos="1508"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Expiration or Cancellation of Company Common Stock</w:t>
      </w:r>
      <w:r>
        <w:rPr>
          <w:rFonts w:ascii="Times New Roman" w:cs="Times New Roman" w:eastAsia="Times New Roman" w:hAnsi="Times New Roman"/>
          <w:sz w:val="13"/>
          <w:szCs w:val="13"/>
          <w:color w:val="auto"/>
        </w:rPr>
        <w:t>. Each share of common stock, par value $0.001 per share, of the Company (the “</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held by the Company or any Subsidiary of the Company (including shares held as treasury stock) or held, directly or indirectly, by Parent, Merger Sub I or Merger Sub II or any of their wholly owned Subsidiaries immediately prior to the First Effective Time shall automatically be cancelled and retired and shall cease to exist as issued or outstanding shares, and no consideration or payment shall be delivered in exchange therefor or in respect thereof.</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5" w:lineRule="auto"/>
        <w:tabs>
          <w:tab w:leader="none" w:pos="1515"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 of Company Common Stock</w:t>
      </w:r>
      <w:r>
        <w:rPr>
          <w:rFonts w:ascii="Times New Roman" w:cs="Times New Roman" w:eastAsia="Times New Roman" w:hAnsi="Times New Roman"/>
          <w:sz w:val="13"/>
          <w:szCs w:val="13"/>
          <w:color w:val="auto"/>
        </w:rPr>
        <w:t xml:space="preserve">. Except as otherwise provided in this Agreement, each share of Company Common Stock issued and outstanding immediately prior to the First Effective Time (other than any shares cancelled pursuant to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 xml:space="preserve"> any Dissenting Shares) shall be converted into the right to receive, in accordance with the terms of this Agreement, subject to </w:t>
      </w:r>
      <w:r>
        <w:rPr>
          <w:rFonts w:ascii="Times New Roman" w:cs="Times New Roman" w:eastAsia="Times New Roman" w:hAnsi="Times New Roman"/>
          <w:sz w:val="13"/>
          <w:szCs w:val="13"/>
          <w:u w:val="single" w:color="auto"/>
          <w:color w:val="auto"/>
        </w:rPr>
        <w:t>Section 6.19(c)</w:t>
      </w:r>
      <w:r>
        <w:rPr>
          <w:rFonts w:ascii="Times New Roman" w:cs="Times New Roman" w:eastAsia="Times New Roman" w:hAnsi="Times New Roman"/>
          <w:sz w:val="13"/>
          <w:szCs w:val="13"/>
          <w:color w:val="auto"/>
        </w:rPr>
        <w:t>, (i) a number of validly issued, fully paid and nonassessable Parent Shares equal to the Exchange Ratio (the “</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with respect to the right to receive cash in lieu of fractional Parent Shares, if any, into which such shares of Company Common Stock have been converted pursuant to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and (ii) $14.85 in cash, without interest (the “</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and, together with the Per Share Stock Consideration and the Fractional Share Consideration,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Each share of Company Common Stock to be converted into the right to receive the Merger Consideration as provided in this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shall no longer be issued or outstanding and shall automatically be cancelled and shall cease to exist, and the holders of certificates (the “</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or non-certificated shares represented by book-entry evidence (“</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which, in each case, immediately prior to the First Effective Time represented such shares of Company Common Stock shall cease to have any rights with respect to such shares of Company Common Stock other than the right to receive, upon surrender of such Certificates or Book-Entry Shares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the Merger Consideration therefor, together with the amounts, if any, payable pursuant to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38"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5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Conversion of Merger Sub I Capital Stock</w:t>
      </w:r>
      <w:r>
        <w:rPr>
          <w:rFonts w:ascii="Times New Roman" w:cs="Times New Roman" w:eastAsia="Times New Roman" w:hAnsi="Times New Roman"/>
          <w:sz w:val="12"/>
          <w:szCs w:val="12"/>
          <w:color w:val="auto"/>
        </w:rPr>
        <w:t>. At the First Effective Time, by virtue of the First Merger and without any action on the part of the holder thereof, each share of common stock, $0.0001 par value per share, of Merger Sub I issued and outstanding immediately prior to the First Effective Time shall automatically be converted into and become 100 fully paid, nonassessable shares of common stock, $0.0001 par value per share, of the Surviving Corporation and shall constitute the only issued or outstanding shares of capital stock of the Surviving Corporation.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9" w:name="page20"/>
    <w:bookmarkEnd w:id="19"/>
    <w:p>
      <w:pPr>
        <w:ind w:left="640" w:right="679" w:firstLine="693"/>
        <w:spacing w:after="0" w:line="266" w:lineRule="auto"/>
        <w:tabs>
          <w:tab w:leader="none" w:pos="1515"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Dissenting Shares</w:t>
      </w:r>
      <w:r>
        <w:rPr>
          <w:rFonts w:ascii="Times New Roman" w:cs="Times New Roman" w:eastAsia="Times New Roman" w:hAnsi="Times New Roman"/>
          <w:sz w:val="12"/>
          <w:szCs w:val="12"/>
          <w:color w:val="auto"/>
        </w:rPr>
        <w:t>. Notwithstanding anything in this Agreement to the contrary, shares of Company Common Stock issued and outstanding immediately prior to the First Effective Time that are held by any holder who, in accordance with Chapter 13 of the CCC, (i) is entitled to demand and has properly demanded that the Company purchase such shares for their fair market value; (ii) has actively voted against approval of the First Merger at the Company Stockholders’ Meeting (or validly submitted a proxy or ballot registering a vote against the First Merger); and (iii) has complied with all applicable notice, demand, delivery, and timing requirements set forth in Chapter 13 of the CCC (such shares,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shall not be converted into the right to receive the Merger Consideration and will instead represent only a right to the payment amount as may be determined to be due with respect to such Dissenting Shares pursuant to Chapter 13 of the CCC (subject to deduction for any required withholding Tax). If any such holder withdraws such holder’s demand for purchase of such Dissenting Shares for fair market value pursuant to Chapter 13 of the CCC or becomes ineligible for such payment, then the right of such holder to receive such payment in respect of such Dissenting Shares shall cease, and such Dissenting Shares shall be deemed to have been converted, as of the First Effective Time, into and will be exchangeable solely for the right to receive the Merger Consideration, without interest and subject to deduction for any required withholding Tax. The Company will give Parent prompt notice of any written demands received by the Company for the purchase of shares of Company Common Stock pursuant to Chapter 13 of the CCC, attempted withdrawals of such demands and any other instruments served pursuant to the CCC and received by the Company relating to demands to be paid the fair market value of Dissenting Shares, and Parent will have the right to direct all negotiations and proceedings with respect to such demands. The Company will not, except with the prior written consent of Parent, voluntarily make any payment with respect to, or settle or compromise or offer to settle or compromise, any such demands, or approve any withdrawal of any such demands, or agree to do any of the foregoing.</w:t>
      </w:r>
    </w:p>
    <w:p>
      <w:pPr>
        <w:spacing w:after="0" w:line="130" w:lineRule="exact"/>
        <w:rPr>
          <w:rFonts w:ascii="Times New Roman" w:cs="Times New Roman" w:eastAsia="Times New Roman" w:hAnsi="Times New Roman"/>
          <w:sz w:val="12"/>
          <w:szCs w:val="12"/>
          <w:color w:val="auto"/>
        </w:rPr>
      </w:pPr>
    </w:p>
    <w:p>
      <w:pPr>
        <w:ind w:left="640" w:right="699" w:firstLine="693"/>
        <w:spacing w:after="0" w:line="248" w:lineRule="auto"/>
        <w:tabs>
          <w:tab w:leader="none" w:pos="1508"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Adjustments</w:t>
      </w:r>
      <w:r>
        <w:rPr>
          <w:rFonts w:ascii="Times New Roman" w:cs="Times New Roman" w:eastAsia="Times New Roman" w:hAnsi="Times New Roman"/>
          <w:sz w:val="13"/>
          <w:szCs w:val="13"/>
          <w:color w:val="auto"/>
        </w:rPr>
        <w:t xml:space="preserve">. Without limiting the other provisions of this Agreement, if at any time during the period between the date of this Agreement and the First Effective Time, any change in the number of outstanding shares of Company Common Stock shall occur as a result of a reclassification, recapitalization, stock split (including a reverse stock split) or similar event, or combination, exchange or readjustment of shares, or any stock dividend with a record date during such period, the Merger Consideration shall be equitably adjusted to provide the same economic effect as contemplated by this Agreement prior to such event. Nothing in this </w:t>
      </w:r>
      <w:r>
        <w:rPr>
          <w:rFonts w:ascii="Times New Roman" w:cs="Times New Roman" w:eastAsia="Times New Roman" w:hAnsi="Times New Roman"/>
          <w:sz w:val="13"/>
          <w:szCs w:val="13"/>
          <w:u w:val="single" w:color="auto"/>
          <w:color w:val="auto"/>
        </w:rPr>
        <w:t>Section 3.1(e)</w:t>
      </w:r>
      <w:r>
        <w:rPr>
          <w:rFonts w:ascii="Times New Roman" w:cs="Times New Roman" w:eastAsia="Times New Roman" w:hAnsi="Times New Roman"/>
          <w:sz w:val="13"/>
          <w:szCs w:val="13"/>
          <w:color w:val="auto"/>
        </w:rPr>
        <w:t xml:space="preserve"> shall be construed to permit any party to take any action that is otherwise prohibited or restricted by any other provision of this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79" w:lineRule="auto"/>
        <w:tabs>
          <w:tab w:leader="none" w:pos="149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The Second Merger</w:t>
      </w:r>
      <w:r>
        <w:rPr>
          <w:rFonts w:ascii="Times New Roman" w:cs="Times New Roman" w:eastAsia="Times New Roman" w:hAnsi="Times New Roman"/>
          <w:sz w:val="12"/>
          <w:szCs w:val="12"/>
          <w:color w:val="auto"/>
        </w:rPr>
        <w:t>. At the Second Effective Time, by virtue of the Second Merger and without any action on the part of the holder thereof, each share of common stock, par value $0.0001 per share, of the Surviving Corporation issued and outstanding immediately prior to the Second Effective Time shall be cancelled and retired and shall cease to exist. Each limited liability company interest of Merger Sub II issued and outstanding immediately prior to the Second Effective Time shall remain outstanding as a limited liability company interest of the Surviving Company.</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0" w:name="page21"/>
    <w:bookmarkEnd w:id="2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3.2 </w:t>
      </w:r>
      <w:r>
        <w:rPr>
          <w:rFonts w:ascii="Times New Roman" w:cs="Times New Roman" w:eastAsia="Times New Roman" w:hAnsi="Times New Roman"/>
          <w:sz w:val="13"/>
          <w:szCs w:val="13"/>
          <w:u w:val="single" w:color="auto"/>
          <w:color w:val="auto"/>
        </w:rPr>
        <w:t>Payment and Issuance of Merger Consideration for Securities; Exchange of Certificates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5" w:lineRule="auto"/>
        <w:tabs>
          <w:tab w:leader="none" w:pos="15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Designation of Exchange Agent; Deposit of Exchange Fund</w:t>
      </w:r>
      <w:r>
        <w:rPr>
          <w:rFonts w:ascii="Times New Roman" w:cs="Times New Roman" w:eastAsia="Times New Roman" w:hAnsi="Times New Roman"/>
          <w:sz w:val="12"/>
          <w:szCs w:val="12"/>
          <w:color w:val="auto"/>
        </w:rPr>
        <w:t>. Prior to the First Effective Time, Parent shall, at its sole cost and expense, designate a reputable bank or trust company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reasonably acceptable to the Company, to act as exchange agent for the payment and issuance of the Merger Consideration (including any applicable Fractional Share Consideration), and shall enter into an agreement (the “</w:t>
      </w:r>
      <w:r>
        <w:rPr>
          <w:rFonts w:ascii="Times New Roman" w:cs="Times New Roman" w:eastAsia="Times New Roman" w:hAnsi="Times New Roman"/>
          <w:sz w:val="12"/>
          <w:szCs w:val="12"/>
          <w:b w:val="1"/>
          <w:bCs w:val="1"/>
          <w:color w:val="auto"/>
        </w:rPr>
        <w:t>Exchange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Agent Agreement</w:t>
      </w:r>
      <w:r>
        <w:rPr>
          <w:rFonts w:ascii="Times New Roman" w:cs="Times New Roman" w:eastAsia="Times New Roman" w:hAnsi="Times New Roman"/>
          <w:sz w:val="12"/>
          <w:szCs w:val="12"/>
          <w:color w:val="auto"/>
        </w:rPr>
        <w:t>”) relating to the Exchange Agent’s responsibilities with respect thereto. At or immediately prior to the First Effective Time (but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any event concurrently with the Closing), Parent shall deposit, or cause to be deposited with the Exchange Agent, (i) evidence of Parent Shares (which shall be in uncertificated book-entry form) representing the full number of Parent Shares issuable pursuant to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xml:space="preserve"> equal to the aggregate Per Share Stock Consideration (excluding any Fractional Share Consideration) and (ii) cash in immediately available funds in an amount sufficient to pay the aggregate Per Share Cash Consideration and the Fractional Share Consideration (such evidence of Parent Shares in book-entry form and cash amounts, the “</w:t>
      </w:r>
      <w:r>
        <w:rPr>
          <w:rFonts w:ascii="Times New Roman" w:cs="Times New Roman" w:eastAsia="Times New Roman" w:hAnsi="Times New Roman"/>
          <w:sz w:val="12"/>
          <w:szCs w:val="12"/>
          <w:b w:val="1"/>
          <w:bCs w:val="1"/>
          <w:color w:val="auto"/>
        </w:rPr>
        <w:t>Exchange Fund</w:t>
      </w:r>
      <w:r>
        <w:rPr>
          <w:rFonts w:ascii="Times New Roman" w:cs="Times New Roman" w:eastAsia="Times New Roman" w:hAnsi="Times New Roman"/>
          <w:sz w:val="12"/>
          <w:szCs w:val="12"/>
          <w:color w:val="auto"/>
        </w:rPr>
        <w:t xml:space="preserve">”). Parent shall, after the First Effective Time on the appropriate payment date, if applicable, provide or cause to be provided to the Exchange Agent any dividends or other distributions payable pursuant to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In the event the Exchange Fund shall be insufficient to make the payments contemplated by </w:t>
      </w:r>
      <w:r>
        <w:rPr>
          <w:rFonts w:ascii="Times New Roman" w:cs="Times New Roman" w:eastAsia="Times New Roman" w:hAnsi="Times New Roman"/>
          <w:sz w:val="12"/>
          <w:szCs w:val="12"/>
          <w:u w:val="single" w:color="auto"/>
          <w:color w:val="auto"/>
        </w:rPr>
        <w:t>Section 3.1(b)</w:t>
      </w:r>
      <w:r>
        <w:rPr>
          <w:rFonts w:ascii="Times New Roman" w:cs="Times New Roman" w:eastAsia="Times New Roman" w:hAnsi="Times New Roman"/>
          <w:sz w:val="12"/>
          <w:szCs w:val="12"/>
          <w:color w:val="auto"/>
        </w:rPr>
        <w:t>, Parent shall promptly deposit, or cause to be deposited, additional funds with the Exchange Agent in an amount which is equal to the deficiency in the amount required to make such payments in full. Parent shall cause the Exchange Fund to be (i) held for the benefit of the holders of Company Common Stock and (ii) applied promptly to making the payments pursuant to</w:t>
      </w:r>
    </w:p>
    <w:p>
      <w:pPr>
        <w:spacing w:after="0" w:line="3" w:lineRule="exact"/>
        <w:rPr>
          <w:rFonts w:ascii="Times New Roman" w:cs="Times New Roman" w:eastAsia="Times New Roman" w:hAnsi="Times New Roman"/>
          <w:sz w:val="12"/>
          <w:szCs w:val="12"/>
          <w:color w:val="auto"/>
        </w:rPr>
      </w:pPr>
    </w:p>
    <w:p>
      <w:pPr>
        <w:ind w:left="640" w:right="71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 xml:space="preserve">. The Exchange Fund shall not be used for any purpose other than to fund payments pursuant to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except as expressly provided for in this Agreement.</w:t>
      </w:r>
    </w:p>
    <w:p>
      <w:pPr>
        <w:spacing w:after="0" w:line="135" w:lineRule="exact"/>
        <w:rPr>
          <w:rFonts w:ascii="Times New Roman" w:cs="Times New Roman" w:eastAsia="Times New Roman" w:hAnsi="Times New Roman"/>
          <w:sz w:val="12"/>
          <w:szCs w:val="12"/>
          <w:color w:val="auto"/>
        </w:rPr>
      </w:pPr>
    </w:p>
    <w:p>
      <w:pPr>
        <w:ind w:left="640" w:right="679" w:firstLine="693"/>
        <w:spacing w:after="0" w:line="267" w:lineRule="auto"/>
        <w:tabs>
          <w:tab w:leader="none" w:pos="1515"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Procedures for Exchange</w:t>
      </w:r>
      <w:r>
        <w:rPr>
          <w:rFonts w:ascii="Times New Roman" w:cs="Times New Roman" w:eastAsia="Times New Roman" w:hAnsi="Times New Roman"/>
          <w:sz w:val="12"/>
          <w:szCs w:val="12"/>
          <w:color w:val="auto"/>
        </w:rPr>
        <w:t>. As promptly as practicable after the First Effective Time (and in any event, within three (3) Business Days thereafter), Parent will cause the Exchange Agent to mail to each holder of record of Certificates whose shares of Company Common Stock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consistent with this Agreement and applicable Law, and (ii) instructions for effecting the surrender of the Certificates in exchange for delivery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the Merger Consideration for each share of Company Common Stock formerly represented by such Certificates. Any Certificates so surrendered will forthwith be cancelled. The Merger Consideration delivered upon the surrender for exchange of Certificates will be deemed to have been delivered in full satisfaction of all rights pertaining to shares of Company Common Stock formerly represented by such Certificates. If delivery of the Merger Consideration is to be made to a Person other than the Person in whose name any surrendered Certificate is registered, it will be a condition precedent of delivery of the Merger Consideration that the Certificate so surrendered will be properly endorsed or will be otherwise in proper form for transfer, and the Person requesting such delivery will have paid any transfer or other similar Taxes required by reason of the delivery of the Merger Consideration to a Person other than the registered holder of the Certificate so surrendered or will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1" w:name="page22"/>
    <w:bookmarkEnd w:id="21"/>
    <w:p>
      <w:pPr>
        <w:ind w:left="640" w:right="659"/>
        <w:spacing w:after="0" w:line="267"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have established to the satisfaction of the Exchange Agent that such Taxes either have been paid or are not required to be paid. Any holder of Book-Entry Shares shall not be required to deliver a Certificate or an executed letter of transmittal or surrender such Book-Entry Shares to the Exchange Agent to receive the Merger Consideration that such holder is entitled to receive. In lieu thereof, upon receipt of an “agent’s message” by the Exchange Agent (or such other evidence, if any, of transfer as the Exchange Agent may reasonably request), the holder of such Book-Entry Share shall be entitled to receive the Merger Consideration that such holder is entitled to receive for each share of Company Common Stock formerly represented by such Book-Entry Share. Delivery of the applicable Merger Consideration, with respect to Book-Entry Shares, shall only be made to the Person in whose name such shares are registered. Parent shall cause the Exchange Agent to deliver as soon as reasonably practicable after the First Effective Time (and in any event, within three Business Days thereafter), the Merger Consideration and, if applicable, on the appropriate payment date,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deliverable for each such Book-Entry Share. Until surrendered or exchanged as contemplated hereby, each Certificate or Book-Entry Share will be deemed at any time after the First Effective Time to represent only the right to receive the Merger Consideration and, if applicable, any amounts that such holder has the right to receive in respect of dividends or other distributions on Parent Shares in accordance with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as contemplated by this Agreement and the right to receive any applicable Fractional Share Consideration. No interest shall be paid or accrued for the benefit of holders of the Certificates or Book-Entry Shares on the Merger Consideration deliverable upon the surrender or exchange of the Certificates or Book-Entry Shares.</w:t>
      </w:r>
    </w:p>
    <w:p>
      <w:pPr>
        <w:spacing w:after="0" w:line="125" w:lineRule="exact"/>
        <w:rPr>
          <w:sz w:val="20"/>
          <w:szCs w:val="20"/>
          <w:color w:val="auto"/>
        </w:rPr>
      </w:pPr>
    </w:p>
    <w:p>
      <w:pPr>
        <w:ind w:left="640" w:right="679" w:firstLine="693"/>
        <w:spacing w:after="0" w:line="248" w:lineRule="auto"/>
        <w:tabs>
          <w:tab w:leader="none" w:pos="150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 of Exchange Fund</w:t>
      </w:r>
      <w:r>
        <w:rPr>
          <w:rFonts w:ascii="Times New Roman" w:cs="Times New Roman" w:eastAsia="Times New Roman" w:hAnsi="Times New Roman"/>
          <w:sz w:val="13"/>
          <w:szCs w:val="13"/>
          <w:color w:val="auto"/>
        </w:rPr>
        <w:t xml:space="preserve">. Any portion of the Exchange Fund (including any interest accrued with respect thereto) which remains undistributed to the holders of the Certificates or Book-Entry Shares for one (1) year after the First Effective Time shall be delivered to the Surviving Company, upon written demand, and any such holders prior to the First Merger who have not theretofore complied with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xml:space="preserve"> shall thereafter look only to the Surviving Company as a general creditor thereof for payment of their claims for Merger Consideration including, if applicable, any amounts that such holder has the right to receive in respect of dividends or other distributions on Parent Shares in accordance with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 xml:space="preserve"> (without any interest thereon), subject to abandoned property, escheat or similar Law.</w:t>
      </w:r>
    </w:p>
    <w:p>
      <w:pPr>
        <w:spacing w:after="0" w:line="134" w:lineRule="exact"/>
        <w:rPr>
          <w:rFonts w:ascii="Times New Roman" w:cs="Times New Roman" w:eastAsia="Times New Roman" w:hAnsi="Times New Roman"/>
          <w:sz w:val="13"/>
          <w:szCs w:val="13"/>
          <w:color w:val="auto"/>
        </w:rPr>
      </w:pPr>
    </w:p>
    <w:p>
      <w:pPr>
        <w:ind w:left="640" w:right="639" w:firstLine="693"/>
        <w:spacing w:after="0" w:line="279" w:lineRule="auto"/>
        <w:tabs>
          <w:tab w:leader="none" w:pos="1515"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Liability</w:t>
      </w:r>
      <w:r>
        <w:rPr>
          <w:rFonts w:ascii="Times New Roman" w:cs="Times New Roman" w:eastAsia="Times New Roman" w:hAnsi="Times New Roman"/>
          <w:sz w:val="12"/>
          <w:szCs w:val="12"/>
          <w:color w:val="auto"/>
        </w:rPr>
        <w:t>. None of Parent, the Company, the Surviving Company or the Exchange Agent shall be liable to any Person in respect of any cash held in the Exchange Fund properly delivered to a public official pursuant to any applicable abandoned property, escheat or similar Law. Following the second anniversary of the First Effective Time, the Merger Consideration will become the property of Parent or the Surviving Company to the extent it would otherwise escheat, to the extent permitted by Law, free and clear of all claims or interest of any Person previously entitled thereto.</w:t>
      </w:r>
    </w:p>
    <w:p>
      <w:pPr>
        <w:spacing w:after="0" w:line="116" w:lineRule="exact"/>
        <w:rPr>
          <w:rFonts w:ascii="Times New Roman" w:cs="Times New Roman" w:eastAsia="Times New Roman" w:hAnsi="Times New Roman"/>
          <w:sz w:val="12"/>
          <w:szCs w:val="12"/>
          <w:color w:val="auto"/>
        </w:rPr>
      </w:pPr>
    </w:p>
    <w:p>
      <w:pPr>
        <w:ind w:left="640" w:right="739" w:firstLine="693"/>
        <w:spacing w:after="0" w:line="251" w:lineRule="auto"/>
        <w:tabs>
          <w:tab w:leader="none" w:pos="1508"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Investment of Exchange Fund</w:t>
      </w:r>
      <w:r>
        <w:rPr>
          <w:rFonts w:ascii="Times New Roman" w:cs="Times New Roman" w:eastAsia="Times New Roman" w:hAnsi="Times New Roman"/>
          <w:sz w:val="13"/>
          <w:szCs w:val="13"/>
          <w:color w:val="auto"/>
        </w:rPr>
        <w:t>. The Exchange Agent Agreement shall provide that, until disbursed in accordance with the terms and conditions of this Agreement, the cash in the Exchange Fund will be invested by the Exchange Agent, as directed by Parent or the Surviving Company, in: (i) obligations of or fully guaranteed by the United States; (ii) short-term commercial paper rated the highest quality by Moody’s Investors Service, Inc. or Standard &amp; Poor’s Corporation; (iii) certificates of deposit, bank repurchase agreements, or banker’s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2" w:name="page23"/>
    <w:bookmarkEnd w:id="2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acceptances of commercial banks with capital exceeding $10 billion (based on the most recent financial statements of such bank that are then publicly available); or (iv) money market funds having a rating in the highest investment category granted by a recognized credit rating agency at the time of acquisition or a combination of the foregoing, and, in any such case, no such instrument shall have a maturity exceeding three months;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such investment (including any losses thereon) shall relieve Parent or the Exchange Agent from making the payments required by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following any losses (or any diminishment of the Exchange Fund for any other reason below the level required to make prompt cash payment in full of the aggregate funds required to be paid pursuant to the terms hereof) Parent shall promptly provide additional funds to the Exchange Agent for the benefit of the holders of Company Common Stock in the amount of such losses. Any interest or income produced by such investments will be payable to the Surviving Company or Parent, as directed by Parent.</w:t>
      </w:r>
    </w:p>
    <w:p>
      <w:pPr>
        <w:spacing w:after="0" w:line="139" w:lineRule="exact"/>
        <w:rPr>
          <w:sz w:val="20"/>
          <w:szCs w:val="20"/>
          <w:color w:val="auto"/>
        </w:rPr>
      </w:pPr>
    </w:p>
    <w:p>
      <w:pPr>
        <w:ind w:left="640" w:right="699" w:firstLine="693"/>
        <w:spacing w:after="0" w:line="251" w:lineRule="auto"/>
        <w:tabs>
          <w:tab w:leader="none" w:pos="1494"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Withholding</w:t>
      </w:r>
      <w:r>
        <w:rPr>
          <w:rFonts w:ascii="Times New Roman" w:cs="Times New Roman" w:eastAsia="Times New Roman" w:hAnsi="Times New Roman"/>
          <w:sz w:val="13"/>
          <w:szCs w:val="13"/>
          <w:color w:val="auto"/>
        </w:rPr>
        <w:t>. Parent, the Exchange Agent and the Surviving Company, as applicable, shall be entitled to deduct and withhold from the consideration otherwise payable pursuant to this Agreement such amounts as it is required to deduct and withhold with respect to the making of such payment under applicable Law. To the extent that amounts are so withheld, such withheld amounts shall be treated for all purposes of this Agreement as having been paid to the Person in respect of whom such deduction and withholding was made.</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 or Distributions</w:t>
      </w:r>
      <w:r>
        <w:rPr>
          <w:rFonts w:ascii="Times New Roman" w:cs="Times New Roman" w:eastAsia="Times New Roman" w:hAnsi="Times New Roman"/>
          <w:sz w:val="13"/>
          <w:szCs w:val="13"/>
          <w:color w:val="auto"/>
        </w:rPr>
        <w:t xml:space="preserve">. Subject to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no dividends or other distributions with respect to Parent Shares with a record date after the First Effective Time shall be paid to the holder of any unsurrendered Certificate with respect to the Parent Shares issuable to such holder hereunder, and all such dividends and other distributions, if any, shall be paid by Parent to the Exchange Agent and shall be included in the Exchange Fund, in each case until the surrender of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xml:space="preserve">, and, if required by Parent, an indemnity bond) in accordance with this Agreement. Subject to applicable Laws and the provisions of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 xml:space="preserve">, following surrender of any such Certificate (or an affidavit of loss in lieu of such Certificate as provided in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there shall be paid to the holder thereof, without interest, (i) the amount of dividends or other distributions with a record date after the First Effective Time and with a payment date prior to such surrender with respect to the Parent Shares to which such holder is entitled pursuant to this Agreement and (ii) at the appropriate payment date, the amount of dividends or other distributions with a record date after the First Effective Time but prior to such surrender and with a payment date subsequent to such surrender payable with respect to such Parent Shares.</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3.3 </w:t>
      </w:r>
      <w:r>
        <w:rPr>
          <w:rFonts w:ascii="Times New Roman" w:cs="Times New Roman" w:eastAsia="Times New Roman" w:hAnsi="Times New Roman"/>
          <w:sz w:val="13"/>
          <w:szCs w:val="13"/>
          <w:u w:val="single" w:color="auto"/>
          <w:color w:val="auto"/>
        </w:rPr>
        <w:t>Company Equity Awards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8" w:lineRule="auto"/>
        <w:tabs>
          <w:tab w:leader="none" w:pos="150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Options</w:t>
      </w:r>
      <w:r>
        <w:rPr>
          <w:rFonts w:ascii="Times New Roman" w:cs="Times New Roman" w:eastAsia="Times New Roman" w:hAnsi="Times New Roman"/>
          <w:sz w:val="13"/>
          <w:szCs w:val="13"/>
          <w:color w:val="auto"/>
        </w:rPr>
        <w:t>. At the First Effective Time, each Company Option (whether or not vested or exercisable) that is outstanding immediately prior to the First Effective Time, and that has not been validly exercised prior thereto, shall automatically and without any required action on the part of the holder thereof, become vested and exercisable in full and shall be cancelled as of the First Effective Time, and each holder of a cancelled Company Option shall be entitled to receive from Parent or the Surviving Company, with respect to the shares of Company Common Stock that would have been issuable upon exercise of such Company Option, subject to the terms and conditions of this Agreement, an amount in cash, without interest (the “</w:t>
      </w:r>
      <w:r>
        <w:rPr>
          <w:rFonts w:ascii="Times New Roman" w:cs="Times New Roman" w:eastAsia="Times New Roman" w:hAnsi="Times New Roman"/>
          <w:sz w:val="13"/>
          <w:szCs w:val="13"/>
          <w:b w:val="1"/>
          <w:bCs w:val="1"/>
          <w:color w:val="auto"/>
        </w:rPr>
        <w:t>Option Consideration</w:t>
      </w:r>
      <w:r>
        <w:rPr>
          <w:rFonts w:ascii="Times New Roman" w:cs="Times New Roman" w:eastAsia="Times New Roman" w:hAnsi="Times New Roman"/>
          <w:sz w:val="13"/>
          <w:szCs w:val="13"/>
          <w:color w:val="auto"/>
        </w:rPr>
        <w:t>”) equal to the product of (x) the number of shares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23" w:name="page24"/>
    <w:bookmarkEnd w:id="2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Company Common Stock subject to such Company Option as of immediately prior to the First Effective Time and (y) the excess, if any, of (1) the Merger Consideration Value over (2) the exercise price per share of Company Common Stock applicable to such Company Option. All such Company Options,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 subject to the other terms and conditions hereof. For the avoidance of doubt, if the Merger Consideration Value is less than or equal to the exercise price per share of a Company Option, the Company Option will be cancelled and terminated for no consideration. Parent shall, or shall cause the Surviving Company to, pay, within three (3) Business Days following the First Effective Time, the Option Consideration to each holder of Company Options, less with respect to any Company employee or former employee, any required withholding Taxes and without interest, and the Option Consideration paid to any Company employee or former employee, less any required withholding, shall be paid through a special payroll of the Company. The Option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40" w:lineRule="exact"/>
        <w:rPr>
          <w:sz w:val="20"/>
          <w:szCs w:val="20"/>
          <w:color w:val="auto"/>
        </w:rPr>
      </w:pPr>
    </w:p>
    <w:p>
      <w:pPr>
        <w:ind w:left="640" w:right="679" w:firstLine="693"/>
        <w:spacing w:after="0" w:line="245" w:lineRule="auto"/>
        <w:tabs>
          <w:tab w:leader="none" w:pos="15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Treatment of Company RSUs</w:t>
      </w:r>
      <w:r>
        <w:rPr>
          <w:rFonts w:ascii="Times New Roman" w:cs="Times New Roman" w:eastAsia="Times New Roman" w:hAnsi="Times New Roman"/>
          <w:sz w:val="13"/>
          <w:szCs w:val="13"/>
          <w:color w:val="auto"/>
        </w:rPr>
        <w:t>. At the First Effective Time, each Company RSU that is outstanding immediately prior to the First Effective Time shall, automatically and without any required action on the part of Parent, the Company or the holder thereof, vest in full (if unvested) and be cancelled as of the First Effective Time, and each holder of a cancelled Company RSU shall become entitled to receive from Parent or the Surviving Company, with respect to the shares of Company Common Stock subject to such canceled Company RSU, subject to the terms and conditions of this Agreement, an amount in cash, without interest (the “</w:t>
      </w:r>
      <w:r>
        <w:rPr>
          <w:rFonts w:ascii="Times New Roman" w:cs="Times New Roman" w:eastAsia="Times New Roman" w:hAnsi="Times New Roman"/>
          <w:sz w:val="13"/>
          <w:szCs w:val="13"/>
          <w:b w:val="1"/>
          <w:bCs w:val="1"/>
          <w:color w:val="auto"/>
        </w:rPr>
        <w:t>RSU Consideration</w:t>
      </w:r>
      <w:r>
        <w:rPr>
          <w:rFonts w:ascii="Times New Roman" w:cs="Times New Roman" w:eastAsia="Times New Roman" w:hAnsi="Times New Roman"/>
          <w:sz w:val="13"/>
          <w:szCs w:val="13"/>
          <w:color w:val="auto"/>
        </w:rPr>
        <w:t xml:space="preserve">”) equal to the product of (x) the number of shares of Company Common Stock subject to such Company RSU as of immediately prior to the First Effective Time and (y) the Merger Consideration Value. All such Company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 subject to the other terms and conditions hereof. Parent shall, or shall cause the Surviving Company to, pay, within three (3) Business Days following the First Effective Time, the RSU Consideration to each holder of Company RSUs, less with respect to any Company employee any required withholding Taxes and without interest, and the RSU Consideration paid to any Company employee, less any required withholding, shall be paid through a special payroll of the Company. The RSU Consideration paid to any Company non-employee director shall be paid by wire transfer of immediately available funds to such account as designated by such Company non-employee director pursuant to wire transfer instructions delivered to the Company and Parent not less than five (5) Business Days before the Closing Date.</w:t>
      </w:r>
    </w:p>
    <w:p>
      <w:pPr>
        <w:spacing w:after="0" w:line="138" w:lineRule="exact"/>
        <w:rPr>
          <w:rFonts w:ascii="Times New Roman" w:cs="Times New Roman" w:eastAsia="Times New Roman" w:hAnsi="Times New Roman"/>
          <w:sz w:val="13"/>
          <w:szCs w:val="13"/>
          <w:color w:val="auto"/>
        </w:rPr>
      </w:pPr>
    </w:p>
    <w:p>
      <w:pPr>
        <w:ind w:left="640" w:right="919" w:firstLine="693"/>
        <w:spacing w:after="0" w:line="279" w:lineRule="auto"/>
        <w:tabs>
          <w:tab w:leader="none" w:pos="15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Treatment of Company Deferred RSUs</w:t>
      </w:r>
      <w:r>
        <w:rPr>
          <w:rFonts w:ascii="Times New Roman" w:cs="Times New Roman" w:eastAsia="Times New Roman" w:hAnsi="Times New Roman"/>
          <w:sz w:val="12"/>
          <w:szCs w:val="12"/>
          <w:color w:val="auto"/>
        </w:rPr>
        <w:t>. At the First Effective Time, each Company Deferred RSU that is outstanding immediately prior to the First Effective Time shall, automatically and without any required action on the part of Parent, the Company or the holder thereof, be cancelled as of the First Effective Time, and each holder of a cancelled Company Deferred RSU shall become entitled to receive from Parent or the Surviving Company, with respect to the shares of Company Common Stock subject to such canceled Company Deferred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4" w:name="page25"/>
    <w:bookmarkEnd w:id="24"/>
    <w:p>
      <w:pPr>
        <w:ind w:left="640" w:right="67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RSU, subject to the terms and conditions of this Agreement, an amount in cash, without interest (the “</w:t>
      </w:r>
      <w:r>
        <w:rPr>
          <w:rFonts w:ascii="Times New Roman" w:cs="Times New Roman" w:eastAsia="Times New Roman" w:hAnsi="Times New Roman"/>
          <w:sz w:val="12"/>
          <w:szCs w:val="12"/>
          <w:b w:val="1"/>
          <w:bCs w:val="1"/>
          <w:color w:val="auto"/>
        </w:rPr>
        <w:t>Deferred RSU Consideration</w:t>
      </w:r>
      <w:r>
        <w:rPr>
          <w:rFonts w:ascii="Times New Roman" w:cs="Times New Roman" w:eastAsia="Times New Roman" w:hAnsi="Times New Roman"/>
          <w:sz w:val="12"/>
          <w:szCs w:val="12"/>
          <w:color w:val="auto"/>
        </w:rPr>
        <w:t xml:space="preserve">”) equal to the product of (x) the number of shares of Company Common Stock subject to such Company Deferred RSU as of immediately prior to the First Effective Time and (y) the Merger Consideration Value. All such Company Deferred RSUs, upon the First Effective Time, shall no longer be outstanding and shall automatically be cancelled and retired and shall cease to exist, and each holder thereof shall cease to have any rights with respect thereto, except the right to receive the consideration set forth in this </w:t>
      </w:r>
      <w:r>
        <w:rPr>
          <w:rFonts w:ascii="Times New Roman" w:cs="Times New Roman" w:eastAsia="Times New Roman" w:hAnsi="Times New Roman"/>
          <w:sz w:val="12"/>
          <w:szCs w:val="12"/>
          <w:u w:val="single" w:color="auto"/>
          <w:color w:val="auto"/>
        </w:rPr>
        <w:t>Section 3.3(c)</w:t>
      </w:r>
      <w:r>
        <w:rPr>
          <w:rFonts w:ascii="Times New Roman" w:cs="Times New Roman" w:eastAsia="Times New Roman" w:hAnsi="Times New Roman"/>
          <w:sz w:val="12"/>
          <w:szCs w:val="12"/>
          <w:color w:val="auto"/>
        </w:rPr>
        <w:t>, subject to the other terms and conditions hereof. Parent shall, or shall cause the Surviving Company to, pay, within three (3) Business Days following the First Effective Time, the Deferred RSU Consideration to each holder of Deferred Company RSUs, without interest. The Deferred RSU Consideration paid to any Company non-employee director or former director shall be paid by wire transfer of immediately available funds to such account as designated by such Company non-employee director or former director pursuant to wire transfer instructions delivered to the Company and Parent not less than five (5) Business Days before the Closing Date. Prior to Closing and in accordance with Section 409A of the Code and the regulations promulgated thereunder, each Company Deferred RSU shall be vested in full and terminated by irrevocable action of the Company Board in return for the consideration specified herein.</w:t>
      </w:r>
    </w:p>
    <w:p>
      <w:pPr>
        <w:spacing w:after="0" w:line="127" w:lineRule="exact"/>
        <w:rPr>
          <w:sz w:val="20"/>
          <w:szCs w:val="20"/>
          <w:color w:val="auto"/>
        </w:rPr>
      </w:pPr>
    </w:p>
    <w:p>
      <w:pPr>
        <w:ind w:left="1520" w:hanging="187"/>
        <w:spacing w:after="0"/>
        <w:tabs>
          <w:tab w:leader="none" w:pos="152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1760" w:hanging="145"/>
        <w:spacing w:after="0"/>
        <w:tabs>
          <w:tab w:leader="none" w:pos="1760" w:val="left"/>
        </w:tabs>
        <w:numPr>
          <w:ilvl w:val="2"/>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Award Per Share Stock Consideration Value</w:t>
      </w:r>
      <w:r>
        <w:rPr>
          <w:rFonts w:ascii="Times New Roman" w:cs="Times New Roman" w:eastAsia="Times New Roman" w:hAnsi="Times New Roman"/>
          <w:sz w:val="12"/>
          <w:szCs w:val="12"/>
          <w:color w:val="auto"/>
        </w:rPr>
        <w:t>” means an amount equal to the product of (x) the Exchange Ratio and</w:t>
      </w:r>
    </w:p>
    <w:p>
      <w:pPr>
        <w:spacing w:after="0" w:line="28" w:lineRule="exact"/>
        <w:rPr>
          <w:rFonts w:ascii="Times New Roman" w:cs="Times New Roman" w:eastAsia="Times New Roman" w:hAnsi="Times New Roman"/>
          <w:sz w:val="12"/>
          <w:szCs w:val="12"/>
          <w:color w:val="auto"/>
        </w:rPr>
      </w:pPr>
    </w:p>
    <w:p>
      <w:pPr>
        <w:ind w:left="1120" w:hanging="173"/>
        <w:spacing w:after="0"/>
        <w:tabs>
          <w:tab w:leader="none" w:pos="1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Closing Share Price, rounded to the nearest whole cent (without any consideration for such rounding if applicable).</w:t>
      </w:r>
    </w:p>
    <w:p>
      <w:pPr>
        <w:spacing w:after="0" w:line="63" w:lineRule="exact"/>
        <w:rPr>
          <w:rFonts w:ascii="Times New Roman" w:cs="Times New Roman" w:eastAsia="Times New Roman" w:hAnsi="Times New Roman"/>
          <w:sz w:val="13"/>
          <w:szCs w:val="13"/>
          <w:color w:val="auto"/>
        </w:rPr>
      </w:pPr>
    </w:p>
    <w:p>
      <w:pPr>
        <w:ind w:left="940" w:right="759" w:firstLine="675"/>
        <w:spacing w:after="0" w:line="270" w:lineRule="auto"/>
        <w:tabs>
          <w:tab w:leader="none" w:pos="1794" w:val="left"/>
        </w:tabs>
        <w:numPr>
          <w:ilvl w:val="2"/>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Closing Share Price</w:t>
      </w:r>
      <w:r>
        <w:rPr>
          <w:rFonts w:ascii="Times New Roman" w:cs="Times New Roman" w:eastAsia="Times New Roman" w:hAnsi="Times New Roman"/>
          <w:sz w:val="13"/>
          <w:szCs w:val="13"/>
          <w:color w:val="auto"/>
        </w:rPr>
        <w:t>” means the VWAP for the thirty (30) consecutive Trading Day period ending on the Trading Day immediately preceding (but not including) the Closing Date.</w:t>
      </w:r>
    </w:p>
    <w:p>
      <w:pPr>
        <w:spacing w:after="0" w:line="43" w:lineRule="exact"/>
        <w:rPr>
          <w:sz w:val="20"/>
          <w:szCs w:val="20"/>
          <w:color w:val="auto"/>
        </w:rPr>
      </w:pPr>
    </w:p>
    <w:p>
      <w:pPr>
        <w:ind w:left="940" w:right="939" w:firstLine="675"/>
        <w:spacing w:after="0" w:line="270" w:lineRule="auto"/>
        <w:tabs>
          <w:tab w:leader="none" w:pos="1829" w:val="left"/>
        </w:tabs>
        <w:numPr>
          <w:ilvl w:val="1"/>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 Value</w:t>
      </w:r>
      <w:r>
        <w:rPr>
          <w:rFonts w:ascii="Times New Roman" w:cs="Times New Roman" w:eastAsia="Times New Roman" w:hAnsi="Times New Roman"/>
          <w:sz w:val="13"/>
          <w:szCs w:val="13"/>
          <w:color w:val="auto"/>
        </w:rPr>
        <w:t>” means an amount equal to the sum of (x) the Equity Award Per Share Stock Consideration Value plus (y) the Per Share Cash Consideration.</w:t>
      </w:r>
    </w:p>
    <w:p>
      <w:pPr>
        <w:spacing w:after="0" w:line="120" w:lineRule="exact"/>
        <w:rPr>
          <w:rFonts w:ascii="Times New Roman" w:cs="Times New Roman" w:eastAsia="Times New Roman" w:hAnsi="Times New Roman"/>
          <w:sz w:val="13"/>
          <w:szCs w:val="13"/>
          <w:color w:val="auto"/>
        </w:rPr>
      </w:pPr>
    </w:p>
    <w:p>
      <w:pPr>
        <w:ind w:left="640" w:right="659" w:firstLine="693"/>
        <w:spacing w:after="0" w:line="270" w:lineRule="auto"/>
        <w:tabs>
          <w:tab w:leader="none" w:pos="150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Prior to the Effective Time, the Company shall take all appropriate actions to (i) give effect to the provisions of </w:t>
      </w:r>
      <w:r>
        <w:rPr>
          <w:rFonts w:ascii="Times New Roman" w:cs="Times New Roman" w:eastAsia="Times New Roman" w:hAnsi="Times New Roman"/>
          <w:sz w:val="12"/>
          <w:szCs w:val="12"/>
          <w:u w:val="single" w:color="auto"/>
          <w:color w:val="auto"/>
        </w:rPr>
        <w:t>Sections 3.3(a)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3.3(b)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3.3(c)</w:t>
      </w:r>
      <w:r>
        <w:rPr>
          <w:rFonts w:ascii="Times New Roman" w:cs="Times New Roman" w:eastAsia="Times New Roman" w:hAnsi="Times New Roman"/>
          <w:sz w:val="12"/>
          <w:szCs w:val="12"/>
          <w:color w:val="auto"/>
        </w:rPr>
        <w:t xml:space="preserve">; (ii) terminate the Company Equity Plans as of the First Effective Time; and (iii) ensure that after the First Effective Time, no holder of a Company Equity Award, any beneficiary thereof nor any other participant in any of the Company Equity Plans shall have any right thereunder to acquire any shares of Company Common Stock or to receive any payment or benefit with respect to any award previously granted under the Company Equity Plans, except as provided in this </w:t>
      </w:r>
      <w:r>
        <w:rPr>
          <w:rFonts w:ascii="Times New Roman" w:cs="Times New Roman" w:eastAsia="Times New Roman" w:hAnsi="Times New Roman"/>
          <w:sz w:val="12"/>
          <w:szCs w:val="12"/>
          <w:u w:val="single" w:color="auto"/>
          <w:color w:val="auto"/>
        </w:rPr>
        <w:t>Section 3.3</w:t>
      </w:r>
      <w:r>
        <w:rPr>
          <w:rFonts w:ascii="Times New Roman" w:cs="Times New Roman" w:eastAsia="Times New Roman" w:hAnsi="Times New Roman"/>
          <w:sz w:val="12"/>
          <w:szCs w:val="12"/>
          <w:color w:val="auto"/>
        </w:rPr>
        <w:t xml:space="preserve">. The Company shall provide Parent with documentation evidencing the completion of the actions set forth in this </w:t>
      </w:r>
      <w:r>
        <w:rPr>
          <w:rFonts w:ascii="Times New Roman" w:cs="Times New Roman" w:eastAsia="Times New Roman" w:hAnsi="Times New Roman"/>
          <w:sz w:val="12"/>
          <w:szCs w:val="12"/>
          <w:u w:val="single" w:color="auto"/>
          <w:color w:val="auto"/>
        </w:rPr>
        <w:t>Section 3.3(e)</w:t>
      </w:r>
      <w:r>
        <w:rPr>
          <w:rFonts w:ascii="Times New Roman" w:cs="Times New Roman" w:eastAsia="Times New Roman" w:hAnsi="Times New Roman"/>
          <w:sz w:val="12"/>
          <w:szCs w:val="12"/>
          <w:color w:val="auto"/>
        </w:rPr>
        <w:t>, including obtaining any necessary consents and provision of any notices required pursuant to the terms of the Company Equity Plans, in each case, if any (the form and substance of such documentation shall be subject to review and approval by Parent, such approval not to be unreasonably withheld, conditioned or delayed), not later than the Business Day preceding the First Effective Time.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5" w:name="page26"/>
    <w:bookmarkEnd w:id="25"/>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3.4 </w:t>
      </w:r>
      <w:r>
        <w:rPr>
          <w:rFonts w:ascii="Times New Roman" w:cs="Times New Roman" w:eastAsia="Times New Roman" w:hAnsi="Times New Roman"/>
          <w:sz w:val="12"/>
          <w:szCs w:val="12"/>
          <w:u w:val="single" w:color="auto"/>
          <w:color w:val="auto"/>
        </w:rPr>
        <w:t>Lost Certificates</w:t>
      </w:r>
      <w:r>
        <w:rPr>
          <w:rFonts w:ascii="Times New Roman" w:cs="Times New Roman" w:eastAsia="Times New Roman" w:hAnsi="Times New Roman"/>
          <w:sz w:val="12"/>
          <w:szCs w:val="12"/>
          <w:color w:val="auto"/>
        </w:rPr>
        <w:t xml:space="preserve">. If any Certificate shall have been lost, stolen or destroyed, then upon the making of an affidavit, in form and substance reasonably acceptable to Parent of that fact by the Person claiming such Certificate to be lost, stolen or destroyed and, if required by Parent in its discretion and as a condition precedent to the payment of any Merger Consideration, the posting by such Person of a bond, in such amount as Parent may direct, as indemnity against any claim that may be made against it with respect to such Certificate, the Exchange Agent will issue in exchange for such lost, stolen or destroyed Certificate, the Merger Consideration to which the holder thereof is entitled pursuant to this </w:t>
      </w:r>
      <w:r>
        <w:rPr>
          <w:rFonts w:ascii="Times New Roman" w:cs="Times New Roman" w:eastAsia="Times New Roman" w:hAnsi="Times New Roman"/>
          <w:sz w:val="12"/>
          <w:szCs w:val="12"/>
          <w:u w:val="single" w:color="auto"/>
          <w:color w:val="auto"/>
        </w:rPr>
        <w:t>Article III</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3.5 </w:t>
      </w:r>
      <w:r>
        <w:rPr>
          <w:rFonts w:ascii="Times New Roman" w:cs="Times New Roman" w:eastAsia="Times New Roman" w:hAnsi="Times New Roman"/>
          <w:sz w:val="13"/>
          <w:szCs w:val="13"/>
          <w:u w:val="single" w:color="auto"/>
          <w:color w:val="auto"/>
        </w:rPr>
        <w:t>Transfers; No Further Ownership Rights</w:t>
      </w:r>
      <w:r>
        <w:rPr>
          <w:rFonts w:ascii="Times New Roman" w:cs="Times New Roman" w:eastAsia="Times New Roman" w:hAnsi="Times New Roman"/>
          <w:sz w:val="13"/>
          <w:szCs w:val="13"/>
          <w:color w:val="auto"/>
        </w:rPr>
        <w:t xml:space="preserve">. From and after the First Effective Time, there shall be no registration of transfers on the stock transfer books of the Company of shares of Company Common Stock that were outstanding immediately prior to the First Effective Time. From and after the First Effective Time, the holders of Certificates and Book-Entry Shares outstanding immediately prior to the First Effective Time will cease to have any rights with respect to such shares of Company Common Stock except as otherwise provided for herein or by applicable Law. If Certificates or Book-Entry Shares are presented to the Surviving Company, Parent or Exchange Agent for transfer following the First Effective Time, they shall be cancelled and exchanged as provided for in this Agreement. Payment of the Merger Consideration in accordance with the terms of this </w:t>
      </w:r>
      <w:r>
        <w:rPr>
          <w:rFonts w:ascii="Times New Roman" w:cs="Times New Roman" w:eastAsia="Times New Roman" w:hAnsi="Times New Roman"/>
          <w:sz w:val="13"/>
          <w:szCs w:val="13"/>
          <w:u w:val="single" w:color="auto"/>
          <w:color w:val="auto"/>
        </w:rPr>
        <w:t>Article III</w:t>
      </w:r>
      <w:r>
        <w:rPr>
          <w:rFonts w:ascii="Times New Roman" w:cs="Times New Roman" w:eastAsia="Times New Roman" w:hAnsi="Times New Roman"/>
          <w:sz w:val="13"/>
          <w:szCs w:val="13"/>
          <w:color w:val="auto"/>
        </w:rPr>
        <w:t>, and, if applicable, any unclaimed dividends upon the surrender of Certificates, shall be deemed to have been paid in full satisfaction of all rights pertaining to the shares of Company Common Stock formerly represented by such Certificates or Book-Entry Shares.</w:t>
      </w:r>
    </w:p>
    <w:p>
      <w:pPr>
        <w:spacing w:after="0" w:line="139"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3.6 </w:t>
      </w:r>
      <w:r>
        <w:rPr>
          <w:rFonts w:ascii="Times New Roman" w:cs="Times New Roman" w:eastAsia="Times New Roman" w:hAnsi="Times New Roman"/>
          <w:sz w:val="13"/>
          <w:szCs w:val="13"/>
          <w:u w:val="single" w:color="auto"/>
          <w:color w:val="auto"/>
        </w:rPr>
        <w:t>Fractional Shares</w:t>
      </w:r>
      <w:r>
        <w:rPr>
          <w:rFonts w:ascii="Times New Roman" w:cs="Times New Roman" w:eastAsia="Times New Roman" w:hAnsi="Times New Roman"/>
          <w:sz w:val="13"/>
          <w:szCs w:val="13"/>
          <w:color w:val="auto"/>
        </w:rPr>
        <w:t xml:space="preserve">. No fractional Parent Shares shall be issued in connection with the First Merger, no certificate or scrip representing fractional Parent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shares of Company Common Stock converted pursuant to the First Merger who would otherwise have been entitled to receive a fraction of a Parent Share (after aggregating all shares represented by the Certificates and Book-Entry Shares delivered by such holder) shall receive, in lieu thereof, cash, rounded to the nearest whole cent and without interest, in an amount equal to such fraction, multiplied by the Agreed Parent Share Price. As soon as practicable after the First Effective Time, the Exchange Agent shall make available the Fractional Share Consideration to such holders, subject to and in accordance with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IV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THE COMPANY</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Except as disclosed in (i) the Company SEC Documents filed on or after November 1, 2024 and publicly available at least one (1) Business Day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prior to the date hereof only to the extent it is reasonably apparent on its face that such disclosure is relevant to any Section or subsection of this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excluding any disclosures contained under the captions “Risk Factors” or “Forward-Looking Statements,” and any other disclosures that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are predictive, cautionary or forward-looking in nature), but it being understood that this clause (i) shall not be applicable to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Organization</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i w:val="1"/>
          <w:iCs w:val="1"/>
          <w:color w:val="auto"/>
        </w:rPr>
        <w:t>and Qualification; Subsidiaries)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4.3</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Authority Relative to Agreement)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 4.20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Vote Required)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4.21</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Fairness Opinion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Takeover Statutes</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4.27</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Ownership of Parent Shares</w:t>
      </w:r>
      <w:r>
        <w:rPr>
          <w:rFonts w:ascii="Times New Roman" w:cs="Times New Roman" w:eastAsia="Times New Roman" w:hAnsi="Times New Roman"/>
          <w:sz w:val="12"/>
          <w:szCs w:val="12"/>
          <w:color w:val="auto"/>
        </w:rPr>
        <w:t>), or (ii) the corresponding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sections of the Company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the Company hereby represents and warrants to Parent as follows: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6" w:name="page27"/>
    <w:bookmarkEnd w:id="2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4.1 </w:t>
      </w:r>
      <w:r>
        <w:rPr>
          <w:rFonts w:ascii="Times New Roman" w:cs="Times New Roman" w:eastAsia="Times New Roman" w:hAnsi="Times New Roman"/>
          <w:sz w:val="13"/>
          <w:szCs w:val="13"/>
          <w:u w:val="single" w:color="auto"/>
          <w:color w:val="auto"/>
        </w:rPr>
        <w:t>Organization and Qualification;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6" w:lineRule="auto"/>
        <w:tabs>
          <w:tab w:leader="none" w:pos="1508"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the Company and its Subsidiaries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Company Material Adverse Effect. Each of the Company and its Subsidiaries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Company Material Adverse Effect.</w:t>
      </w:r>
    </w:p>
    <w:p>
      <w:pPr>
        <w:spacing w:after="0" w:line="137"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true and complete copies of (i) the Articles of Incorporation of the Company (the</w:t>
      </w:r>
    </w:p>
    <w:p>
      <w:pPr>
        <w:spacing w:after="0" w:line="1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Charter</w:t>
      </w:r>
      <w:r>
        <w:rPr>
          <w:rFonts w:ascii="Times New Roman" w:cs="Times New Roman" w:eastAsia="Times New Roman" w:hAnsi="Times New Roman"/>
          <w:sz w:val="12"/>
          <w:szCs w:val="12"/>
          <w:color w:val="auto"/>
        </w:rPr>
        <w:t>”), (ii) the Amended and Restated Bylaws of the Company (the “</w:t>
      </w:r>
      <w:r>
        <w:rPr>
          <w:rFonts w:ascii="Times New Roman" w:cs="Times New Roman" w:eastAsia="Times New Roman" w:hAnsi="Times New Roman"/>
          <w:sz w:val="12"/>
          <w:szCs w:val="12"/>
          <w:b w:val="1"/>
          <w:bCs w:val="1"/>
          <w:color w:val="auto"/>
        </w:rPr>
        <w:t>Company Bylaws</w:t>
      </w:r>
      <w:r>
        <w:rPr>
          <w:rFonts w:ascii="Times New Roman" w:cs="Times New Roman" w:eastAsia="Times New Roman" w:hAnsi="Times New Roman"/>
          <w:sz w:val="12"/>
          <w:szCs w:val="12"/>
          <w:color w:val="auto"/>
        </w:rPr>
        <w:t>”), and (iii) the certificates of incorporation and bylaws, or equivalent organizational or governing documents of each of the Company’s Subsidiaries. There has not been any violation of any of the provisions of the Company Charter or the Company Bylaws, including all amendments thereto, or of the equivalent organizational or governing documents of any of the Company’s Subsidiaries, the Company has not taken any action that is inconsistent with any resolution adopted by the stockholders of the Company, the Company Board or any committee thereof, and no Subsidiary of the Company has taken any action that is inconsistent with any resolution of the securityholders of such Subsidiary of the Company or any equivalent governing body of such Subsidiary of the Company.</w:t>
      </w:r>
    </w:p>
    <w:p>
      <w:pPr>
        <w:spacing w:after="0" w:line="124" w:lineRule="exact"/>
        <w:rPr>
          <w:sz w:val="20"/>
          <w:szCs w:val="20"/>
          <w:color w:val="auto"/>
        </w:rPr>
      </w:pPr>
    </w:p>
    <w:p>
      <w:pPr>
        <w:ind w:left="640" w:right="679" w:firstLine="693"/>
        <w:spacing w:after="0" w:line="246" w:lineRule="auto"/>
        <w:tabs>
          <w:tab w:leader="none" w:pos="1508"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sets forth as of the date hereof a true and complete list of the Company’s Subsidiaries, together with the jurisdiction of organization or incorporation, as the case may be, of each Subsidiary of the Company, and the jurisdictions in which each Subsidiary is qualified to conduct business. Except as set forth in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Company Disclosure Letter, neither the Company nor any of its Subsidiaries, (x) directly or indirectly, owns or controls any Equity Interest in any Person other than the Company’s Subsidiaries or (y) has agreed or is obligated to, directly or indirectly, make any future investment in or capital contribution or advance to any such Person with respect to any such Equity Interest (other than another Subsidiary). All of the outstanding shares of capital stock of, or other Equity Interests in, each of the Company’s Subsidiaries have been duly authorized and validly issued and are fully paid and nonassessable. All of the outstanding shares of capital stock of, or other Equity Interests in, each of the Company’s Subsidiaries are owned, directly or indirectly, by the Company free and clear of all Liens, other than Permitted Liens.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7" w:name="page28"/>
    <w:bookmarkEnd w:id="27"/>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of the Company Disclosure Letter:</w:t>
      </w:r>
    </w:p>
    <w:p>
      <w:pPr>
        <w:spacing w:after="0" w:line="152" w:lineRule="exact"/>
        <w:rPr>
          <w:sz w:val="20"/>
          <w:szCs w:val="20"/>
          <w:color w:val="auto"/>
        </w:rPr>
      </w:pPr>
    </w:p>
    <w:p>
      <w:pPr>
        <w:ind w:left="1500" w:hanging="167"/>
        <w:spacing w:after="0"/>
        <w:tabs>
          <w:tab w:leader="none" w:pos="150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January 6, 2026 (the “</w:t>
      </w:r>
      <w:r>
        <w:rPr>
          <w:rFonts w:ascii="Times New Roman" w:cs="Times New Roman" w:eastAsia="Times New Roman" w:hAnsi="Times New Roman"/>
          <w:sz w:val="12"/>
          <w:szCs w:val="12"/>
          <w:b w:val="1"/>
          <w:bCs w:val="1"/>
          <w:color w:val="auto"/>
        </w:rPr>
        <w:t>Capitalization Date</w:t>
      </w:r>
      <w:r>
        <w:rPr>
          <w:rFonts w:ascii="Times New Roman" w:cs="Times New Roman" w:eastAsia="Times New Roman" w:hAnsi="Times New Roman"/>
          <w:sz w:val="12"/>
          <w:szCs w:val="12"/>
          <w:color w:val="auto"/>
        </w:rPr>
        <w:t>”), the authorized capital stock of the Company consists of</w:t>
      </w:r>
    </w:p>
    <w:p>
      <w:pPr>
        <w:spacing w:after="0" w:line="28" w:lineRule="exact"/>
        <w:rPr>
          <w:rFonts w:ascii="Times New Roman" w:cs="Times New Roman" w:eastAsia="Times New Roman" w:hAnsi="Times New Roman"/>
          <w:sz w:val="12"/>
          <w:szCs w:val="12"/>
          <w:color w:val="auto"/>
        </w:rPr>
      </w:pPr>
    </w:p>
    <w:p>
      <w:pPr>
        <w:ind w:left="640" w:right="699" w:hanging="3"/>
        <w:spacing w:after="0" w:line="244" w:lineRule="auto"/>
        <w:tabs>
          <w:tab w:leader="none" w:pos="79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100,000,000 shares of Company Common Stock, (A) 17,874,079 of which were issued and outstanding and (B) zero of which were held in treasury, and (ii) no shares of preferred stock. Between the Capitalization Date and the date of this Agreement, the Company has not issued any Equity Interest in the Company, except for shares of Company Common Stock issued upon the exercise, vesting or settlement of Company Equity Awards that are outstanding as of the Capitalization Date. None of the Company Subsidiaries owns any shares of Company Common Stock or has any option or warrant to purchase any shares of Company Common Stock or any other Equity Interest in the Company. All of the outstanding shares of Company Common Stock have been duly authorized and validly issued and are fully paid, nonassessable and free of preemptive rights.</w:t>
      </w:r>
    </w:p>
    <w:p>
      <w:pPr>
        <w:spacing w:after="0" w:line="136" w:lineRule="exact"/>
        <w:rPr>
          <w:rFonts w:ascii="Times New Roman" w:cs="Times New Roman" w:eastAsia="Times New Roman" w:hAnsi="Times New Roman"/>
          <w:sz w:val="13"/>
          <w:szCs w:val="13"/>
          <w:color w:val="auto"/>
        </w:rPr>
      </w:pPr>
    </w:p>
    <w:p>
      <w:pPr>
        <w:ind w:left="640" w:right="679" w:firstLine="693"/>
        <w:spacing w:after="0" w:line="244" w:lineRule="auto"/>
        <w:tabs>
          <w:tab w:leader="none" w:pos="1515"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As of the close of business on the Capitalization Date, the Company has no shares of Company Common Stock subject to or reserved for issuance, except for (i) 49,003 shares of Company Common Stock subject to outstanding Company RSUs, including 20,777 Company Deferred RSUs of which 16,518 are fully vested, (ii) 634,000 shares of Company Common Stock subject to outstanding Company Options and (iii) 110,936 shares of Company Common Stock reserved for future issuance under the Company Equity Plans for awards not yet granted. All shares of Company Common Stock subject to issuance under the Company Equity Plans, upon issuance prior to the First Effective Time on the terms and conditions specified in the instruments pursuant to which they are issuable, will be duly authorized, validly issued, fully paid, nonassessable and free of preemptive rights.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(the “</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sets forth a true and complete list, as of the Capitalization Date, of all outstanding Company Equity Awards, including the type of Company Equity Award, the Company Equity Plan that such Company Equity Award was issued under, the name of the holder of such Company Equity Award, the number of shares of Company Common Stock subject to such Company Equity Award, the exercise or purchase price, if any, type (incentive or nonqualified), and expiration date with respect thereto, if any, the applicable grant date thereof, the applicable vesting schedule with respect thereto, any unpaid dividend equivalents and whether or not the applicable Company Equity Award was granted to such holder in his or her capacity as a current or former employee of the Company or any of its Subsidiaries. As of the Capitalization Date, there are no declared or unpaid dividends or dividend equivalents with respect to any outstanding shares of Company Common Stock, Company Options, Company RSUs or Company Deferred RSUs. All outstanding Company Equity Awards have been issued under a Company Equity Plan and, by their terms, may be treated at the First Effective Time as set forth in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The Company shall provide Parent with an updated Equity Award Schedule within three (3) Business Days prior to the anticipated Closing Date to reflect any changes occurring between the Capitalization Date and the applicable date of delivery.</w:t>
      </w:r>
    </w:p>
    <w:p>
      <w:pPr>
        <w:spacing w:after="0" w:line="145" w:lineRule="exact"/>
        <w:rPr>
          <w:rFonts w:ascii="Times New Roman" w:cs="Times New Roman" w:eastAsia="Times New Roman" w:hAnsi="Times New Roman"/>
          <w:sz w:val="13"/>
          <w:szCs w:val="13"/>
          <w:color w:val="auto"/>
        </w:rPr>
      </w:pPr>
    </w:p>
    <w:p>
      <w:pPr>
        <w:ind w:left="640" w:right="719" w:firstLine="693"/>
        <w:spacing w:after="0" w:line="251" w:lineRule="auto"/>
        <w:tabs>
          <w:tab w:leader="none" w:pos="1508" w:val="left"/>
        </w:tabs>
        <w:numPr>
          <w:ilvl w:val="1"/>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close of business on the Capitalization Date, other than the Company Equity Awards set forth in the Equity Award Schedule, there were no existing and outstanding Equity Interests or other options, warrants, calls, subscriptions, preemptive rights, anti-dilution rights or other rights, stockholders’ rights plans or other agreements, convertible securities, awards of equity-based incentives or compensation (including phantom stock),</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8" w:name="page29"/>
    <w:bookmarkEnd w:id="28"/>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agreements or arrangements of any character (or any obligations to enter into such agreements or arrangements), relating to or based on the value of any Equity Interests of the Company or any of its Subsidiaries or obligating the Company or any of its Subsidiaries to issue, acquire, transfer, exchange, sell or register for sale any Equity Interests of the Company or any of its Subsidiaries. Since the close of business on the Capitalization Date, the Company has not issued any shares of Company Common Stock, Company Equity Awards or other Equity Interests other than shares of Company Common Stock issued upon the exercise or settlement of Company Equity Awards outstanding as of the close of business on the Capitalization Date in accordance with their terms.</w:t>
      </w:r>
    </w:p>
    <w:p>
      <w:pPr>
        <w:spacing w:after="0" w:line="135" w:lineRule="exact"/>
        <w:rPr>
          <w:sz w:val="20"/>
          <w:szCs w:val="20"/>
          <w:color w:val="auto"/>
        </w:rPr>
      </w:pPr>
    </w:p>
    <w:p>
      <w:pPr>
        <w:ind w:left="640" w:right="679" w:firstLine="693"/>
        <w:spacing w:after="0" w:line="249" w:lineRule="auto"/>
        <w:tabs>
          <w:tab w:leader="none" w:pos="151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obligations (whether outstanding or authorized) of the Company or any of its Subsidiaries requiring the redemption or repurchase of, or containing any right of first refusal with respect to, or granting any preemptive rights with respect to, any shares of Company Common Stock or other Equity Interests of the Company or any of its Subsidiaries. There are no obligations (whether outstanding or authorized) of the Company or any of its Subsidiaries to provide a material amount of funds to, or make any material investment (in the form of a loan, capital contribution or otherwise) in any Subsidiary that is not a wholly-owned Subsidiary.</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08"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Company Equity Awards, as applicable, (i) each grant of any Company Equity Award was duly authorized no later than the date on which the grant of such Company Option was by its terms to be effective and was granted by all necessary corporate action, (ii) each Company Option has an exercise price equal to no less than the fair market value of the underlying shares of Company Common Stock on the applicable grant date, (iii) no Company Option provides for any feature for the deferral of compensation other than the deferral of recognition of income until the later of exercise or disposition of such Company Option, in each case, as determined in accordance with Section 409A of the Code, and (iv) no Company RSU that constitutes nonqualified deferred compensation within the meaning of Section 409A of the Code, and each Company RSU set forth in Section 4.2(e) of the Company Disclosure Letter, has been awarded and administered in compliance in all material respects with applicable requirements of Section 409A of the Code.</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49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voting trusts or other agreements or legally binding understandings to which the Company or any of its Subsidiaries is a party with respect to the voting of shares of Company Common Stock or other Equity Interests of the Company or any of its Subsidiaries, other than any such agreements solely between and among the Company and any of its Subsidiaries or solely between and among two or more Subsidiaries of the Company. There are no outstanding bonds, debentures, notes or other indebtedness of the Company having the right to vote (or convertible into, or exchangeable for, securities having the right to vote) on any matters on which holders of shares of Company Common Stock may vote.</w:t>
      </w:r>
    </w:p>
    <w:p>
      <w:pPr>
        <w:spacing w:after="0" w:line="119" w:lineRule="exact"/>
        <w:rPr>
          <w:rFonts w:ascii="Times New Roman" w:cs="Times New Roman" w:eastAsia="Times New Roman" w:hAnsi="Times New Roman"/>
          <w:sz w:val="12"/>
          <w:szCs w:val="12"/>
          <w:color w:val="auto"/>
        </w:rPr>
      </w:pPr>
    </w:p>
    <w:p>
      <w:pPr>
        <w:ind w:left="640" w:right="1139" w:firstLine="693"/>
        <w:spacing w:after="0" w:line="255" w:lineRule="auto"/>
        <w:tabs>
          <w:tab w:leader="none" w:pos="151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of the outstanding Equity Interests of each of the Company’s Subsidiaries are owned of record and beneficially, directly or indirectly, by the Company or the relevant wholly owned Subsidiary and free and clear of all material Liens except for restrictions imposed by applicable securities Laws and Permitted Liens.</w:t>
      </w:r>
    </w:p>
    <w:p>
      <w:pPr>
        <w:spacing w:after="0" w:line="130" w:lineRule="exact"/>
        <w:rPr>
          <w:rFonts w:ascii="Times New Roman" w:cs="Times New Roman" w:eastAsia="Times New Roman" w:hAnsi="Times New Roman"/>
          <w:sz w:val="13"/>
          <w:szCs w:val="13"/>
          <w:color w:val="auto"/>
        </w:rPr>
      </w:pPr>
    </w:p>
    <w:p>
      <w:pPr>
        <w:ind w:left="640" w:right="759" w:firstLine="693"/>
        <w:spacing w:after="0" w:line="255" w:lineRule="auto"/>
        <w:tabs>
          <w:tab w:leader="none" w:pos="1515"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owns any interest or investment (whether equity or debt) in any corporation, partnership, joint venture, trust or other entity, other than a Subsidiary of the Company, which interest or investment is material to the Company and its Subsidiaries, taken as a whole.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9" w:name="page30"/>
    <w:bookmarkEnd w:id="29"/>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all necessary corporate power and authority to execute and deliver this Agreement and, subject to obtaining the Requisite Company Stockholder Approval and the occurrence of the stockholder advisory vote contemplated by Rule 14a-21(c) under the Exchange Act, regardless of the outcome of such advisory vote (the “</w:t>
      </w:r>
      <w:r>
        <w:rPr>
          <w:rFonts w:ascii="Times New Roman" w:cs="Times New Roman" w:eastAsia="Times New Roman" w:hAnsi="Times New Roman"/>
          <w:sz w:val="12"/>
          <w:szCs w:val="12"/>
          <w:b w:val="1"/>
          <w:bCs w:val="1"/>
          <w:color w:val="auto"/>
        </w:rPr>
        <w:t>Company Stockholder Advisory Vote</w:t>
      </w:r>
      <w:r>
        <w:rPr>
          <w:rFonts w:ascii="Times New Roman" w:cs="Times New Roman" w:eastAsia="Times New Roman" w:hAnsi="Times New Roman"/>
          <w:sz w:val="12"/>
          <w:szCs w:val="12"/>
          <w:color w:val="auto"/>
        </w:rPr>
        <w:t>”), to perform its obligations hereunder and to consummate the transactions contemplated hereby, including the First Merger. Except for the Requisite Company Stockholder Approval, the occurrence of the Company Stockholder Advisory Vote and filing the Certificates of Merger with the Secretary as required by the CCC and the Secretary of State of the State of Delaware as required by the DGCL, (A) the execution, delivery and performance of this Agreement by the Company, and the consummation by the Company of the First Merger and the other transactions contemplated by this Agreement, have been duly and validly authorized by all necessary corporate action by the Company, and (B) no other corporate Action on the part of the Company is necessary to authorize the execution, delivery and performance of this Agreement by the Company and the consummation by the Company of the First Merger and the other transactions contemplated by this Agreement. This Agreement has been duly executed and delivered by the Company and, assuming due authorization, execution and delivery of this Agreement by the other parties hereto, constitutes a legal, valid and binding obligation of the Company, enforceable against the Company in accordance with its terms, except that (i) such enforcement may be subject to applicable bankruptcy, insolvency, fraudulent transfer, reorganization, moratorium or other similar Laws, now or hereafter in effect, affecting creditors’ rights and remedies generally and (ii) the remedies of specific performance and injunctive and other forms of equitable relief may be subject to equitable defenses and to the discretion of the court before which any proceeding therefor may be brought (the “</w:t>
      </w:r>
      <w:r>
        <w:rPr>
          <w:rFonts w:ascii="Times New Roman" w:cs="Times New Roman" w:eastAsia="Times New Roman" w:hAnsi="Times New Roman"/>
          <w:sz w:val="12"/>
          <w:szCs w:val="12"/>
          <w:b w:val="1"/>
          <w:bCs w:val="1"/>
          <w:color w:val="auto"/>
        </w:rPr>
        <w:t>Enforceability Exceptions</w:t>
      </w:r>
      <w:r>
        <w:rPr>
          <w:rFonts w:ascii="Times New Roman" w:cs="Times New Roman" w:eastAsia="Times New Roman" w:hAnsi="Times New Roman"/>
          <w:sz w:val="12"/>
          <w:szCs w:val="12"/>
          <w:color w:val="auto"/>
        </w:rPr>
        <w:t>”).</w:t>
      </w:r>
    </w:p>
    <w:p>
      <w:pPr>
        <w:spacing w:after="0" w:line="276" w:lineRule="exact"/>
        <w:rPr>
          <w:rFonts w:ascii="Times New Roman" w:cs="Times New Roman" w:eastAsia="Times New Roman" w:hAnsi="Times New Roman"/>
          <w:sz w:val="12"/>
          <w:szCs w:val="12"/>
          <w:color w:val="auto"/>
        </w:rPr>
      </w:pPr>
    </w:p>
    <w:p>
      <w:pPr>
        <w:ind w:left="640" w:right="659" w:firstLine="693"/>
        <w:spacing w:after="0" w:line="248" w:lineRule="auto"/>
        <w:tabs>
          <w:tab w:leader="none" w:pos="151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Board, at a meeting duly called and held, has unanimously (i) approved, adopted and declared advisable this Agreement, the First Merger and the other transactions contemplated hereby, (ii) determined that this Agreement, the First Merger and the other transactions contemplated hereby are advisable, fair to and in the best interests of the Company and its stockholders, (iii) resolved to make the Company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Company Board in accordance with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shall not be a breach of the representation in clause (iii)), and (iv) directed that this Agreement be submitted to the stockholders of the Company for its adoption at the Company Stockholders’ Meeting.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4.4</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759" w:firstLine="693"/>
        <w:spacing w:after="0" w:line="251" w:lineRule="auto"/>
        <w:tabs>
          <w:tab w:leader="none" w:pos="1508"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execution, delivery or performance of this Agreement by the Company or the consummation by the Company of the First Merger and the other transactions contemplated hereby will (with or without notice or lapse of time, or both) directly or indirectly (i) conflict with or violate any provision of the Company Charter or Company Bylaws, (ii) assuming that the Consents, registrations, declarations, filings and notices referred to 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30" w:name="page31"/>
    <w:bookmarkEnd w:id="30"/>
    <w:p>
      <w:pPr>
        <w:ind w:left="640" w:right="659"/>
        <w:spacing w:after="0" w:line="246"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4.4(b)</w:t>
      </w:r>
      <w:r>
        <w:rPr>
          <w:rFonts w:ascii="Times New Roman" w:cs="Times New Roman" w:eastAsia="Times New Roman" w:hAnsi="Times New Roman"/>
          <w:sz w:val="13"/>
          <w:szCs w:val="13"/>
          <w:color w:val="auto"/>
        </w:rPr>
        <w:t xml:space="preserve"> have been obtained or made, any applicable waiting periods referred to therein have terminated or expired and any condition precedent to any such Consent (as hereinafter defined) has been satisfied, conflict with or violate any Law applicable to the Company or any of its Subsidiaries or by which any property or asset of the Company or any of its Subsidiaries is bound or affected or (iii) require any consent or approval under, violate, conflict with, result in any breach of or constitute a change of control or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the Company or any of its Subsidiaries pursuant to any Company Material Contract, other than, in the case of clauses (ii) and (iii) any such conflict, violation, breach, default, termination, acceleration or cancellation that would not have or reasonably be expected to have, individually or in the aggregate, a Company Material Adverse Effect.</w:t>
      </w:r>
    </w:p>
    <w:p>
      <w:pPr>
        <w:spacing w:after="0" w:line="137" w:lineRule="exact"/>
        <w:rPr>
          <w:sz w:val="20"/>
          <w:szCs w:val="20"/>
          <w:color w:val="auto"/>
        </w:rPr>
      </w:pPr>
    </w:p>
    <w:p>
      <w:pPr>
        <w:ind w:left="640" w:right="659" w:firstLine="693"/>
        <w:spacing w:after="0" w:line="267" w:lineRule="auto"/>
        <w:tabs>
          <w:tab w:leader="none" w:pos="1515"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approval, license, permit, Order or authorization (a “</w:t>
      </w:r>
      <w:r>
        <w:rPr>
          <w:rFonts w:ascii="Times New Roman" w:cs="Times New Roman" w:eastAsia="Times New Roman" w:hAnsi="Times New Roman"/>
          <w:sz w:val="12"/>
          <w:szCs w:val="12"/>
          <w:b w:val="1"/>
          <w:bCs w:val="1"/>
          <w:color w:val="auto"/>
        </w:rPr>
        <w:t>Consent</w:t>
      </w:r>
      <w:r>
        <w:rPr>
          <w:rFonts w:ascii="Times New Roman" w:cs="Times New Roman" w:eastAsia="Times New Roman" w:hAnsi="Times New Roman"/>
          <w:sz w:val="12"/>
          <w:szCs w:val="12"/>
          <w:color w:val="auto"/>
        </w:rPr>
        <w:t>”) of, or registration, declaration or filing with, or notice to, any Governmental Authority (with or without notice or lapse of time, or both) is required to be obtained or made by or with respect to the Company or any of its Subsidiaries in connection with the execution, delivery and performance of this Agreement or the consummation of the First Merger and the other transactions contemplated hereby, other than (i) the filing with the SEC of a joint proxy statement/prospectus in definitive form relating to the matters to be submitted to the Company’s stockholders at the Company Stockholders’ Meeting and the matters to be submitted to Parent’s stockholders at the Parent Stockholders Meeting (such Prospectus, and any amendments or supplements thereto, the “</w:t>
      </w:r>
      <w:r>
        <w:rPr>
          <w:rFonts w:ascii="Times New Roman" w:cs="Times New Roman" w:eastAsia="Times New Roman" w:hAnsi="Times New Roman"/>
          <w:sz w:val="12"/>
          <w:szCs w:val="12"/>
          <w:b w:val="1"/>
          <w:bCs w:val="1"/>
          <w:color w:val="auto"/>
        </w:rPr>
        <w:t>Joint Proxy Statement/Prospectus</w:t>
      </w:r>
      <w:r>
        <w:rPr>
          <w:rFonts w:ascii="Times New Roman" w:cs="Times New Roman" w:eastAsia="Times New Roman" w:hAnsi="Times New Roman"/>
          <w:sz w:val="12"/>
          <w:szCs w:val="12"/>
          <w:color w:val="auto"/>
        </w:rPr>
        <w:t>”) and the filing with the SEC, and declaration of effectiveness under the Securities Act, of a registration statement on Form S-4 with respect to the issuance of the Parent Shares in the First Merger, in which the Joint Proxy Statement/Prospectus will be included as a prospectus (such Form S-4, and any amendments or supplements thereto,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(ii) the filing of the First Certificate of Merger with the Secretary and the Secretary of State of the State of Delaware,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NASDAQ, (vi) such other items required solely by reason of the participation of Parent, Merger Sub I or Merger Sub II in the transactions contemplated hereby,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Company Material Adverse Effect.</w:t>
      </w:r>
    </w:p>
    <w:p>
      <w:pPr>
        <w:spacing w:after="0" w:line="278"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08"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“covered foreign person,” as that term is defined in 31 C.F.R. § 850.209. The transactions contemplated hereby will not result in the establishment of a “covered foreign person” or the engagement by a “person of a country of concern” in a “covered activity,” and the Company does not currently engage, or have plans to engage, directly or indirectly, in a “covered activity,” as each such term is defined in 31 C.F.R. Part 850.</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31" w:name="page32"/>
    <w:bookmarkEnd w:id="3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4.5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5" w:lineRule="auto"/>
        <w:tabs>
          <w:tab w:leader="none" w:pos="1508"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(i) are, and since November 1, 2021, have been, in possession of all authorizations, permits, franchises, grants, easements, variances, exemptions, exceptions, permissions, qualifications, registrations, clearances, Consents, waivers, approvals, orders, deviations, licenses and certificates of any Governmental Authority, and (ii) have filed all tariffs, reports, notices and other documents with any Governmental Authority necessary for the Company and its Subsidiaries to own, lease and operate their properties and assets, and to carry on and operate their businesses as currently conducted (clauses (i) and (ii), collectively, the “</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and all Company Permits are, and since November 1, 2021, have been, in full force and effect and no suspension, modification, or cancellation of any of the Company Permits is pending or, to the Knowledge of the Company, threatened, except where the failure to be in possession of, to have filed or be in full force and effect, or the suspension, modification or cancellation of, any of the Company Permits would not reasonably be expected to have, individually or in the aggregate, a Company Material Adverse Effect. Each of the Company and each of its Subsidiaries is, and since November 1, 2021, has been, in compliance with the terms and requirements of all Company Permits, and neither the Company nor any of its Subsidiaries has received any written notice regarding a material default or violation in respect of any of the Company Permits, except where the failure to be in compliance has not had and would not reasonably be expected to have, individually or in the aggregate, a Company Material Adverse Effect. None of the Company Permits were obtained through fraud, bribery, or illegal payments made directly or through third parties.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15"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none of the Company or any of its Subsidiaries is, and since November 1, 2021 has not been, in conflict with, in default under or in violation of any Law applicable to the Company or any of its Subsidiaries or by which any property or asset of the Company or any of its Subsidiaries is bound or affected, except for any such conflicts, defaults or violations that has not had or would not reasonably be expected to have, individually or in the aggregate, a Company Material Adverse Effect. Except as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 xml:space="preserve"> of the Company Disclosure Letter, since November 1, 2021, neither the Company nor any of its Subsidiaries has received any written notice or, to the Knowledge of the Company, other communication from any Governmental Authority regarding any actual or possible violation of, or failure to comply with, any Law, except as has not had and would not reasonably be expected to have, individually or in the aggregate, a Company Material Adverse Effect.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4.6 </w:t>
      </w:r>
      <w:r>
        <w:rPr>
          <w:rFonts w:ascii="Times New Roman" w:cs="Times New Roman" w:eastAsia="Times New Roman" w:hAnsi="Times New Roman"/>
          <w:sz w:val="13"/>
          <w:szCs w:val="13"/>
          <w:u w:val="single" w:color="auto"/>
          <w:color w:val="auto"/>
        </w:rPr>
        <w:t>Company SEC Documents; Financial Statements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the Company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the Company with the SEC, as have been supplemented, modified or amended since the time of filing, collectively, the “</w:t>
      </w:r>
      <w:r>
        <w:rPr>
          <w:rFonts w:ascii="Times New Roman" w:cs="Times New Roman" w:eastAsia="Times New Roman" w:hAnsi="Times New Roman"/>
          <w:sz w:val="13"/>
          <w:szCs w:val="13"/>
          <w:b w:val="1"/>
          <w:bCs w:val="1"/>
          <w:color w:val="auto"/>
        </w:rPr>
        <w:t>Company 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Documents</w:t>
      </w:r>
      <w:r>
        <w:rPr>
          <w:rFonts w:ascii="Times New Roman" w:cs="Times New Roman" w:eastAsia="Times New Roman" w:hAnsi="Times New Roman"/>
          <w:sz w:val="13"/>
          <w:szCs w:val="13"/>
          <w:color w:val="auto"/>
        </w:rPr>
        <w:t>”). As of their respective filing dates, or, if supplemented, modified or amended prior to the date hereof, as of the date of the most recent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such supplement, modification or amendment, the Company SEC Documents complied in all material respects with the applicable requirements of the Securities Act, the Exchange Act or the Sarbanes-Oxley Act, as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2" w:name="page33"/>
    <w:bookmarkEnd w:id="32"/>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case may be, and the applicable rules and regulations of the SEC promulgated thereunder and the listing and corporate governance rules and regulations of NASDAQ, and none of the Company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the Company with the SEC solely for the purposes of complying with Regulation FD promulgated under the Exchange Act. As of the date of this Agreement, there are no outstanding or unresolved comments in any comment letters of the staff of the SEC received by the Company or any of its Subsidiaries relating to the Company SEC Documents. To the Knowledge of the Company, as of the date hereof, none of the Company SEC Documents are the subject of ongoing SEC review or outstanding SEC investigation.</w:t>
      </w:r>
    </w:p>
    <w:p>
      <w:pPr>
        <w:spacing w:after="0" w:line="124" w:lineRule="exact"/>
        <w:rPr>
          <w:sz w:val="20"/>
          <w:szCs w:val="20"/>
          <w:color w:val="auto"/>
        </w:rPr>
      </w:pPr>
    </w:p>
    <w:p>
      <w:pPr>
        <w:ind w:left="640" w:right="779" w:firstLine="693"/>
        <w:spacing w:after="0" w:line="269" w:lineRule="auto"/>
        <w:tabs>
          <w:tab w:leader="none" w:pos="1515"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audited consolidated financial statements and unaudited consolidated interim financial statements of the Company and its consolidated Subsidiaries (including in each case, any related notes thereto) included in the Company SEC Documents (collectively,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(i) when filed complied as to form in all material respects with the published rules and regulations of the SEC with respect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thereto and (ii) fairly present in all material respects the consolidated financial position and the consolidated statements of operations, cash flows and changes in stockholders’ equity of the Company and its consolidated Subsidiaries, taken as a whole, as of the dates and for the respective periods referred to therein (subject, in the case of unaudited interim statements, to normal and recurring year-end audit adjustments, none of which would be material, individually or in the aggregate, the absence of notes and any other adjustments described therein, including in any notes thereto) in accordance with GAAP (except, in the case of unaudited statements, as permitted by Form 10-Q, Form 8-K or any successor form or other rules under the Exchange Act) applied on a consistent basis during the periods involved (except as may be indicated therein or in the notes thereto).</w:t>
      </w:r>
    </w:p>
    <w:p>
      <w:pPr>
        <w:spacing w:after="0" w:line="124" w:lineRule="exact"/>
        <w:rPr>
          <w:rFonts w:ascii="Times New Roman" w:cs="Times New Roman" w:eastAsia="Times New Roman" w:hAnsi="Times New Roman"/>
          <w:sz w:val="12"/>
          <w:szCs w:val="12"/>
          <w:color w:val="auto"/>
        </w:rPr>
      </w:pPr>
    </w:p>
    <w:p>
      <w:pPr>
        <w:ind w:left="640" w:right="659" w:firstLine="693"/>
        <w:spacing w:after="0" w:line="266" w:lineRule="auto"/>
        <w:tabs>
          <w:tab w:leader="none" w:pos="1508"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Without limiting the generality of </w:t>
      </w:r>
      <w:r>
        <w:rPr>
          <w:rFonts w:ascii="Times New Roman" w:cs="Times New Roman" w:eastAsia="Times New Roman" w:hAnsi="Times New Roman"/>
          <w:sz w:val="12"/>
          <w:szCs w:val="12"/>
          <w:u w:val="single" w:color="auto"/>
          <w:color w:val="auto"/>
        </w:rPr>
        <w:t>Section 4.6(a)</w:t>
      </w:r>
      <w:r>
        <w:rPr>
          <w:rFonts w:ascii="Times New Roman" w:cs="Times New Roman" w:eastAsia="Times New Roman" w:hAnsi="Times New Roman"/>
          <w:sz w:val="12"/>
          <w:szCs w:val="12"/>
          <w:color w:val="auto"/>
        </w:rPr>
        <w:t>, (i) Deloitte &amp; Touche LLP has not resigned or been dismissed as independent public accountants of the Company as a result of or in connection with any disagreement with the Company on a matter of accounting principles or practices, financial statement disclosure or auditing scope or procedure, (ii) since November 1, 2021, neither the Company nor, to the Knowledge of the Company, any Representative of the Company, has formally received any material written complaint, allegation, assertion or claim regarding the accounting or auditing practices, procedures, methodologies or methods of the Company or its internal accounting controls, including any material complaint, allegation, assertion or claim that a member of the Company has engaged in questionable accounting or auditing practices, (iii) no executive officer of the Company has failed in any respect to make, without qualification, the certifications required of him or her under Section 302 or 906 of the Sarbanes-Oxley Act with respect to any form, report or schedule filed by the Company with the SEC since the enactment of the Sarbanes-Oxley Act and</w:t>
      </w:r>
    </w:p>
    <w:p>
      <w:pPr>
        <w:spacing w:after="0" w:line="2" w:lineRule="exact"/>
        <w:rPr>
          <w:rFonts w:ascii="Times New Roman" w:cs="Times New Roman" w:eastAsia="Times New Roman" w:hAnsi="Times New Roman"/>
          <w:sz w:val="12"/>
          <w:szCs w:val="12"/>
          <w:color w:val="auto"/>
        </w:rPr>
      </w:pPr>
    </w:p>
    <w:p>
      <w:pPr>
        <w:ind w:left="640" w:right="679" w:hanging="3"/>
        <w:spacing w:after="0" w:line="246" w:lineRule="auto"/>
        <w:tabs>
          <w:tab w:leader="none" w:pos="854"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since November 1, 2021, no enforcement action has been initiated against or threatened against the Company by the SEC relating to disclosures contained in any Company SEC Document.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3" w:name="page34"/>
    <w:bookmarkEnd w:id="33"/>
    <w:p>
      <w:pPr>
        <w:ind w:left="640" w:right="719" w:firstLine="693"/>
        <w:spacing w:after="0" w:line="251" w:lineRule="auto"/>
        <w:tabs>
          <w:tab w:leader="none" w:pos="1515"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the Company or any of its Subsidiaries in the Company SEC Documents.</w:t>
      </w:r>
    </w:p>
    <w:p>
      <w:pPr>
        <w:spacing w:after="0" w:line="133" w:lineRule="exact"/>
        <w:rPr>
          <w:sz w:val="20"/>
          <w:szCs w:val="20"/>
          <w:color w:val="auto"/>
        </w:rPr>
      </w:pPr>
    </w:p>
    <w:p>
      <w:pPr>
        <w:ind w:left="640" w:right="67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4.7 </w:t>
      </w:r>
      <w:r>
        <w:rPr>
          <w:rFonts w:ascii="Times New Roman" w:cs="Times New Roman" w:eastAsia="Times New Roman" w:hAnsi="Times New Roman"/>
          <w:sz w:val="13"/>
          <w:szCs w:val="13"/>
          <w:u w:val="single" w:color="auto"/>
          <w:color w:val="auto"/>
        </w:rPr>
        <w:t>Form S-4; Proxy Statement</w:t>
      </w:r>
      <w:r>
        <w:rPr>
          <w:rFonts w:ascii="Times New Roman" w:cs="Times New Roman" w:eastAsia="Times New Roman" w:hAnsi="Times New Roman"/>
          <w:sz w:val="13"/>
          <w:szCs w:val="13"/>
          <w:color w:val="auto"/>
        </w:rPr>
        <w:t>. The Joint Proxy Statement/Prospectus and the Form S-4 will not, on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the Company with regards to statements made therein based on information supplied by or on behalf of Parent, Merger Sub I or Merger Sub II (or any of their Affiliates) for inclusion therein. The Joint Proxy Statement/Prospectus and the Form S-4, each will, when filed with the SEC, comply as to form in all material respects with the applicable requirements of the Exchange Act.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693"/>
        <w:spacing w:after="0" w:line="266" w:lineRule="auto"/>
        <w:tabs>
          <w:tab w:leader="none" w:pos="1508" w:val="left"/>
        </w:tabs>
        <w:numPr>
          <w:ilvl w:val="1"/>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the Company and its Subsidiaries and the preparation of financial statements for external purposes in accordance with GAAP and (ii)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The Company has disclosed, based on its most recent evaluation of the Company’s internal control over financial reporting prior to the date hereof, to the Company’s auditors and the audit committee of the Company Board</w:t>
      </w:r>
    </w:p>
    <w:p>
      <w:pPr>
        <w:spacing w:after="0" w:line="1" w:lineRule="exact"/>
        <w:rPr>
          <w:rFonts w:ascii="Times New Roman" w:cs="Times New Roman" w:eastAsia="Times New Roman" w:hAnsi="Times New Roman"/>
          <w:sz w:val="12"/>
          <w:szCs w:val="12"/>
          <w:color w:val="auto"/>
        </w:rPr>
      </w:pPr>
    </w:p>
    <w:p>
      <w:pPr>
        <w:ind w:left="800" w:hanging="163"/>
        <w:spacing w:after="0"/>
        <w:tabs>
          <w:tab w:leader="none" w:pos="80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significant deficiencies and material weaknesses in the design or operation of its internal controls over financial reporting (as defined in Rule</w:t>
      </w:r>
    </w:p>
    <w:p>
      <w:pPr>
        <w:spacing w:after="0" w:line="13" w:lineRule="exact"/>
        <w:rPr>
          <w:rFonts w:ascii="Times New Roman" w:cs="Times New Roman" w:eastAsia="Times New Roman" w:hAnsi="Times New Roman"/>
          <w:sz w:val="12"/>
          <w:szCs w:val="12"/>
          <w:color w:val="auto"/>
        </w:rPr>
      </w:pPr>
    </w:p>
    <w:p>
      <w:pPr>
        <w:ind w:left="640" w:right="69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13a-15(f) under the Exchange Act)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137" w:lineRule="exact"/>
        <w:rPr>
          <w:rFonts w:ascii="Times New Roman" w:cs="Times New Roman" w:eastAsia="Times New Roman" w:hAnsi="Times New Roman"/>
          <w:sz w:val="12"/>
          <w:szCs w:val="12"/>
          <w:color w:val="auto"/>
        </w:rPr>
      </w:pPr>
    </w:p>
    <w:p>
      <w:pPr>
        <w:ind w:left="640" w:right="719" w:firstLine="693"/>
        <w:spacing w:after="0" w:line="286" w:lineRule="auto"/>
        <w:tabs>
          <w:tab w:leader="none" w:pos="1515"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made any prohibited loans to any executive officer of the Company (as defined in Rule 3b-7 under the Exchange Act) or director of the Company. There are no outstanding loans or other extensions of credit made by the Company or any of its Subsidiaries to any executive officer of the Company (as defined in Rule 3b-7 under the Exchange Act) or director of the Company.</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4" w:name="page35"/>
    <w:bookmarkEnd w:id="34"/>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 Company Disclosure Letter, from November 1, 2024 to the date of this Agreement:</w:t>
      </w:r>
    </w:p>
    <w:p>
      <w:pPr>
        <w:spacing w:after="0" w:line="122" w:lineRule="exact"/>
        <w:rPr>
          <w:sz w:val="20"/>
          <w:szCs w:val="20"/>
          <w:color w:val="auto"/>
        </w:rPr>
      </w:pPr>
    </w:p>
    <w:p>
      <w:pPr>
        <w:ind w:left="640" w:right="939" w:firstLine="693"/>
        <w:spacing w:after="0" w:line="267"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businesses of the Company and its Subsidiaries have been conducted in all material respects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15"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has not occurred any adverse change, event, effect or circumstance that has had or would reasonably be expected to have, individually or in the aggregate, a Company Material Adverse Effect; and</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67" w:lineRule="auto"/>
        <w:tabs>
          <w:tab w:leader="none" w:pos="1508"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there has not been any action taken by the Company or any of its Subsidiaries that, if taken during the period from the date hereof through the First Effective Time without Parent’s written consent, would constitute a breach of </w:t>
      </w:r>
      <w:r>
        <w:rPr>
          <w:rFonts w:ascii="Times New Roman" w:cs="Times New Roman" w:eastAsia="Times New Roman" w:hAnsi="Times New Roman"/>
          <w:sz w:val="13"/>
          <w:szCs w:val="13"/>
          <w:u w:val="single" w:color="auto"/>
          <w:color w:val="auto"/>
        </w:rPr>
        <w:t>Section 6.1(a)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(z)</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4.10 </w:t>
      </w:r>
      <w:r>
        <w:rPr>
          <w:rFonts w:ascii="Times New Roman" w:cs="Times New Roman" w:eastAsia="Times New Roman" w:hAnsi="Times New Roman"/>
          <w:sz w:val="13"/>
          <w:szCs w:val="13"/>
          <w:u w:val="single" w:color="auto"/>
          <w:color w:val="auto"/>
        </w:rPr>
        <w:t>No Undisclosed Liabilities</w:t>
      </w:r>
      <w:r>
        <w:rPr>
          <w:rFonts w:ascii="Times New Roman" w:cs="Times New Roman" w:eastAsia="Times New Roman" w:hAnsi="Times New Roman"/>
          <w:sz w:val="13"/>
          <w:szCs w:val="13"/>
          <w:color w:val="auto"/>
        </w:rPr>
        <w:t xml:space="preserve">. Except for those liabilities and obligations (a) as specifically reflected and reserved against in the Company Financial Statements filed prior to the date hereof in the Company SEC Documents, (b) incurred in the ordinary course of business since August 1, 2025, consistent with past practice in all material respects, (c) that have not had and would not reasonably be expected to have, individually or in the aggregate, a Company Material Adverse Effect or (d) as set forth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of the Company Disclosure Letter, as of the date hereof, the Company and its Subsidiaries are not subject to any liabilities or obligations of any nature, whether or not accrued, contingent or otherwise, that would be required by GAAP to be reflected on a consolidated balance sheet (or in the notes thereto) of the Company.</w:t>
      </w:r>
    </w:p>
    <w:p>
      <w:pPr>
        <w:spacing w:after="0" w:line="135"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4.11 </w:t>
      </w:r>
      <w:r>
        <w:rPr>
          <w:rFonts w:ascii="Times New Roman" w:cs="Times New Roman" w:eastAsia="Times New Roman" w:hAnsi="Times New Roman"/>
          <w:sz w:val="12"/>
          <w:szCs w:val="12"/>
          <w:u w:val="single" w:color="auto"/>
          <w:color w:val="auto"/>
        </w:rPr>
        <w:t>Litigation</w:t>
      </w:r>
      <w:r>
        <w:rPr>
          <w:rFonts w:ascii="Times New Roman" w:cs="Times New Roman" w:eastAsia="Times New Roman" w:hAnsi="Times New Roman"/>
          <w:sz w:val="12"/>
          <w:szCs w:val="12"/>
          <w:color w:val="auto"/>
        </w:rPr>
        <w:t xml:space="preserve">. Except as set forth in </w:t>
      </w:r>
      <w:r>
        <w:rPr>
          <w:rFonts w:ascii="Times New Roman" w:cs="Times New Roman" w:eastAsia="Times New Roman" w:hAnsi="Times New Roman"/>
          <w:sz w:val="12"/>
          <w:szCs w:val="12"/>
          <w:u w:val="single" w:color="auto"/>
          <w:color w:val="auto"/>
        </w:rPr>
        <w:t>Section 4.11</w:t>
      </w:r>
      <w:r>
        <w:rPr>
          <w:rFonts w:ascii="Times New Roman" w:cs="Times New Roman" w:eastAsia="Times New Roman" w:hAnsi="Times New Roman"/>
          <w:sz w:val="12"/>
          <w:szCs w:val="12"/>
          <w:color w:val="auto"/>
        </w:rPr>
        <w:t xml:space="preserve"> of the Company Disclosure Letter, there is no Action pending or, to the Knowledge of the Company, threatened against the Company or any of its Subsidiaries, that would reasonably be expected to be material to the Company and its Subsidiaries or would reasonably be expected to prevent, materially delay or materially impair the ability of the Company to fulfill its obligations under this Agreement or consummate the transactions contemplated hereby, nor is there any Order of any Governmental Authority outstanding against, or, to the Knowledge of the Company, investigation by any Governmental Authority involving, the Company or any of its Subsidiaries that would reasonably be expected to be material to the Company and its Subsidiaries, taken as a whole, or would reasonably be expected to prevent, materially delay or materially impair the ability of the Company to fulfill its obligations under this Agreement or consummate the transactions contemplated hereby. As of the date hereof, there is no Action pending or, to the Knowledge of the Company, threatened seeking to prevent, enjoin, modify, materially delay or challenge the First Merger or any of the other transactions contemplated by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4.12 </w:t>
      </w:r>
      <w:r>
        <w:rPr>
          <w:rFonts w:ascii="Times New Roman" w:cs="Times New Roman" w:eastAsia="Times New Roman" w:hAnsi="Times New Roman"/>
          <w:sz w:val="13"/>
          <w:szCs w:val="13"/>
          <w:u w:val="single" w:color="auto"/>
          <w:color w:val="auto"/>
        </w:rPr>
        <w:t>Employee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59" w:firstLine="693"/>
        <w:spacing w:after="0" w:line="255" w:lineRule="auto"/>
        <w:tabs>
          <w:tab w:leader="none" w:pos="1508"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Company Disclosure Letter sets forth a true and complete list, as of the date hereof, of each US Company Benefit Plan (which list may, with respect to individual offer letters for “at-will” employment that may be terminated by the Company or any of its Subsidiaries without liability upon thirty (30) days’ or less advance notice and that do not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5" w:name="page36"/>
    <w:bookmarkEnd w:id="35"/>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contain severance, termination, retention or change in control benefits, reference a form of such US Company Benefit Plan that is materially consistent with such offer letter). The Company has made available to Parent a true and complete copy of each US Company Benefit Plan and all amendments thereto, and descriptions of all material terms of any such plan that is not in writing, and a true and complete copy of the following items (in each case, only if applicable): (i) each trust or other funding arrangement, (ii) each summary plan description and summary of material modifications, (iii) the three most recently filed annual reports filed with any Governmental Authority (including on IRS Form 5500), (iv) the three most recent annual financial and actuarial reports, (v) any material, non-routine correspondence with a Governmental Authority in the past three years, (vi) the most recent written results of any required compliance testing, (vii) the most recently received letter received from a Governmental Authority regarding the tax-qualified status of the US Company Benefit Plan (including any IRS determination letter or IRS opinion letter) and (viii) all material records, notices and filings concerning IRS or U.S. Department of Labor audits or investigations with respect to any such US Company Benefit Plan.</w:t>
      </w:r>
    </w:p>
    <w:p>
      <w:pPr>
        <w:spacing w:after="0" w:line="124" w:lineRule="exact"/>
        <w:rPr>
          <w:sz w:val="20"/>
          <w:szCs w:val="20"/>
          <w:color w:val="auto"/>
        </w:rPr>
      </w:pPr>
    </w:p>
    <w:p>
      <w:pPr>
        <w:ind w:left="640" w:right="659" w:firstLine="693"/>
        <w:spacing w:after="0" w:line="266" w:lineRule="auto"/>
        <w:tabs>
          <w:tab w:leader="none" w:pos="1515" w:val="left"/>
        </w:tabs>
        <w:numPr>
          <w:ilvl w:val="1"/>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Each of the US Company Benefit Plans has been maintained, operated, administered and funded in all material respects (A) in accordance with its terms and (B) in compliance with ERISA, the Code and any other applicable Laws, (ii) in the past three years, no proceeding (other than routine claims for benefits and including an audit, action, suit, litigation, arbitration, or investigation) has been pending against or, to the Knowledge of the Company, is threatened against or reasonably expected to involve, any US Company Benefit Plan (or the assets, fiduciaries or administrators thereof), (iii) payments required to be paid by the Company or any of its Subsidiaries (in each case, only if applicable) pursuant to the terms of a US Company Benefit Plan or by applicable Law (including, all contributions and insurance premiums) have been made or provided for by the Company or its Subsidiaries in accordance with the provisions of such US Company Benefit Plan or applicable Law or, if not yet due, accrued to the extent required by, and in accordance with, GAAP, (iv) no non-exempt “prohibited transaction,” within the meaning of Section 4975 of the Code and Section 406 of ERISA, has occurred or is reasonably expected to occur with respect to the US Company Benefit Plans (in each case, only if applicable),</w:t>
      </w:r>
    </w:p>
    <w:p>
      <w:pPr>
        <w:spacing w:after="0" w:line="1" w:lineRule="exact"/>
        <w:rPr>
          <w:rFonts w:ascii="Times New Roman" w:cs="Times New Roman" w:eastAsia="Times New Roman" w:hAnsi="Times New Roman"/>
          <w:sz w:val="12"/>
          <w:szCs w:val="12"/>
          <w:color w:val="auto"/>
        </w:rPr>
      </w:pPr>
    </w:p>
    <w:p>
      <w:pPr>
        <w:ind w:left="640" w:right="639" w:hanging="3"/>
        <w:spacing w:after="0" w:line="244" w:lineRule="auto"/>
        <w:tabs>
          <w:tab w:leader="none" w:pos="819"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officer or director of the Company has engaged or caused the Company to engage in any, and to the Knowledge of the Company, there are no breaches of fiduciary duty or other failures to act or comply in connection with the administration or investment of the assets of such US Company Benefit Plan have occurred, (vi) no lien has been imposed under the Code, ERISA or any other applicable Law, and (vii) neither the Company nor any of its Subsidiaries has made any filing in respect of any US Company Benefit Plan under the Employee Plans Compliance Resolution System or the Department of Labor Delinquent Filer Program (in each case, only if applicable).</w:t>
      </w:r>
    </w:p>
    <w:p>
      <w:pPr>
        <w:spacing w:after="0" w:line="136"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Each US Company Benefit Plan intended to be qualified under Section 401(a) of the Code has either received a favorable determination letter from the IRS with respect to each such US Company Benefit Plan as to its qualified status under the Code, or with respect to a prototype US Company Benefit Plan, the prototype sponsor has received a favorable IRS opinion letter upon which it is entitled to rely, and (ii) to the Knowledge of the Company, no event has occurred since the most recent determination or opinion letter relating to any such US Company Benefit Plan that would reasonably be expected to adversely affect the qualification of such US Company Benefit Plan. Each trust established in connection with any US Company Benefit Plan which is intended to be exempt from federal income taxation under Section 501(a) of the Code is so exempt, and no fact or event has occurred that would reasonably be expected to adversely affect the exempt status of any such trust.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36" w:name="page37"/>
    <w:bookmarkEnd w:id="36"/>
    <w:p>
      <w:pPr>
        <w:ind w:left="640" w:right="699" w:firstLine="693"/>
        <w:spacing w:after="0" w:line="246" w:lineRule="auto"/>
        <w:tabs>
          <w:tab w:leader="none" w:pos="1515"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4.12(d)</w:t>
      </w:r>
      <w:r>
        <w:rPr>
          <w:rFonts w:ascii="Times New Roman" w:cs="Times New Roman" w:eastAsia="Times New Roman" w:hAnsi="Times New Roman"/>
          <w:sz w:val="13"/>
          <w:szCs w:val="13"/>
          <w:color w:val="auto"/>
        </w:rPr>
        <w:t xml:space="preserve"> of the Company Disclosure Letter, neither the Company nor any of its ERISA Affiliates (nor any predecessor of any such entity) currently sponsors, maintains, administers or contributes to, has any obligation to contribute to or has any actual or potential liability in respect of, or has within the previous six (6) years sponsored, maintained, administered or contributed to (or had any obligation to contribute to within the previous six (6) years), (i) any defined benefit plan, including any plan subject to Title IV of ERISA, Section 302 of ERISA or Section 412 of the Code; (ii) any “multiemployer plan” (within the meaning of Section 3(37) of ERISA); (iii) any “multiple employer plan” (within the meaning of Section 210 of ERISA or Section 413(c) of the Code); (iv) any “multiple employer welfare arrangement” (as such term is defined in Section 3(40) of ERISA) or (v) any termination indemnity program, long-service awards, jubilee payment program or other similar program or arrangement.</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08"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4.12(e)</w:t>
      </w:r>
      <w:r>
        <w:rPr>
          <w:rFonts w:ascii="Times New Roman" w:cs="Times New Roman" w:eastAsia="Times New Roman" w:hAnsi="Times New Roman"/>
          <w:sz w:val="13"/>
          <w:szCs w:val="13"/>
          <w:color w:val="auto"/>
        </w:rPr>
        <w:t xml:space="preserve"> of the Company Disclosure Letter, neither the execution nor delivery of this Agreement nor the consummation of the First Merger will (either alone or in connection with any other event) (i) except as expressly provided in this Agreement, entitle any current or former director, employee, consultant or individual independent contractor of the Company or any of its Subsidiaries to any payment or benefit (including any loan forgiveness), (ii) increase the amount or value of any benefit or compensation or other obligation payable or required to be provided to any such director, employee, consultant or individual independent contractor, or any Company Benefit Plan or its Subsidiaries or (iii) except as expressly provided in this Agreement, accelerate the time of payment or vesting of amounts due any such director, employee, consultant or individual independent contractor or accelerate or trigger in advance the time of any funding (whether to a trust or otherwise) of compensation or benefits in respect of any of the Company Benefit Plans.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494"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in </w:t>
      </w:r>
      <w:r>
        <w:rPr>
          <w:rFonts w:ascii="Times New Roman" w:cs="Times New Roman" w:eastAsia="Times New Roman" w:hAnsi="Times New Roman"/>
          <w:sz w:val="12"/>
          <w:szCs w:val="12"/>
          <w:u w:val="single" w:color="auto"/>
          <w:color w:val="auto"/>
        </w:rPr>
        <w:t>Section 4.12(f)</w:t>
      </w:r>
      <w:r>
        <w:rPr>
          <w:rFonts w:ascii="Times New Roman" w:cs="Times New Roman" w:eastAsia="Times New Roman" w:hAnsi="Times New Roman"/>
          <w:sz w:val="12"/>
          <w:szCs w:val="12"/>
          <w:color w:val="auto"/>
        </w:rPr>
        <w:t xml:space="preserve"> of the Company Disclosure Letter, none of the Company or its Subsidiaries has any obligations to provide (whether under a Company Benefit Plan or otherwise) health, accident, disability, life or other welfare or insurance benefits to any current or former employees, directors, consultants or retirees of the Company or any of its Subsidiaries (or any spouse, beneficiary or dependent of the foregoing) beyond the termination of employment or other service of such employee, director, consultant or retiree (other than for continuation coverage required to be provided pursuant to Section 4980B of the Code or similar state Law), in each case except as required by Mexican Law, including the </w:t>
      </w:r>
      <w:r>
        <w:rPr>
          <w:rFonts w:ascii="Times New Roman" w:cs="Times New Roman" w:eastAsia="Times New Roman" w:hAnsi="Times New Roman"/>
          <w:sz w:val="12"/>
          <w:szCs w:val="12"/>
          <w:i w:val="1"/>
          <w:iCs w:val="1"/>
          <w:color w:val="auto"/>
        </w:rPr>
        <w:t>Ley del Seguro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Social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2"/>
          <w:szCs w:val="12"/>
          <w:i w:val="1"/>
          <w:iCs w:val="1"/>
          <w:color w:val="auto"/>
        </w:rPr>
        <w:t xml:space="preserve"> Ley del Instituto del Fondo Nacional de la Vivienda para los Trabajadores</w:t>
      </w:r>
      <w:r>
        <w:rPr>
          <w:rFonts w:ascii="Times New Roman" w:cs="Times New Roman" w:eastAsia="Times New Roman" w:hAnsi="Times New Roman"/>
          <w:sz w:val="12"/>
          <w:szCs w:val="12"/>
          <w:color w:val="auto"/>
        </w:rPr>
        <w:t>, to the extent applicable.</w:t>
      </w:r>
    </w:p>
    <w:p>
      <w:pPr>
        <w:spacing w:after="0" w:line="123" w:lineRule="exact"/>
        <w:rPr>
          <w:rFonts w:ascii="Times New Roman" w:cs="Times New Roman" w:eastAsia="Times New Roman" w:hAnsi="Times New Roman"/>
          <w:sz w:val="12"/>
          <w:szCs w:val="12"/>
          <w:color w:val="auto"/>
        </w:rPr>
      </w:pPr>
    </w:p>
    <w:p>
      <w:pPr>
        <w:ind w:left="1520" w:hanging="187"/>
        <w:spacing w:after="0"/>
        <w:tabs>
          <w:tab w:leader="none" w:pos="15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or plan (including any Company Benefit Plan) which requires the Company or its Subsidiaries to pay a Tax</w:t>
      </w:r>
    </w:p>
    <w:p>
      <w:pPr>
        <w:spacing w:after="0" w:line="15" w:lineRule="exact"/>
        <w:rPr>
          <w:sz w:val="20"/>
          <w:szCs w:val="20"/>
          <w:color w:val="auto"/>
        </w:rPr>
      </w:pPr>
    </w:p>
    <w:p>
      <w:pPr>
        <w:ind w:left="640" w:right="899"/>
        <w:spacing w:after="0" w:line="246" w:lineRule="auto"/>
        <w:rPr>
          <w:sz w:val="20"/>
          <w:szCs w:val="20"/>
          <w:color w:val="auto"/>
        </w:rPr>
      </w:pPr>
      <w:r>
        <w:rPr>
          <w:rFonts w:ascii="Times New Roman" w:cs="Times New Roman" w:eastAsia="Times New Roman" w:hAnsi="Times New Roman"/>
          <w:sz w:val="13"/>
          <w:szCs w:val="13"/>
          <w:color w:val="auto"/>
        </w:rPr>
        <w:t>gross-up or Tax reimbursement payment to any Person, including, without limitation, with respect to any Tax-related payments under Section 409A, Section 280G or Section 4999 of the Code, in each case except as required by Mexican Law to the extent applicable.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37" w:name="page38"/>
    <w:bookmarkEnd w:id="37"/>
    <w:p>
      <w:pPr>
        <w:ind w:left="640" w:right="659" w:firstLine="693"/>
        <w:spacing w:after="0" w:line="246" w:lineRule="auto"/>
        <w:tabs>
          <w:tab w:leader="none" w:pos="1515"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4.12(h)</w:t>
      </w:r>
      <w:r>
        <w:rPr>
          <w:rFonts w:ascii="Times New Roman" w:cs="Times New Roman" w:eastAsia="Times New Roman" w:hAnsi="Times New Roman"/>
          <w:sz w:val="13"/>
          <w:szCs w:val="13"/>
          <w:color w:val="auto"/>
        </w:rPr>
        <w:t xml:space="preserve"> of the Company Disclosure Letter, no amount or benefit that has been or could be received (whether in cash or property or the vesting of property) by any current or former employee, consultant, director or other service provider of the Company or any of its Subsidiaries who is a “disqualified individual” (as such term is defined in Treasury Regulation Section 1.280G-1) pursuant to any Company Benefit Plan or other Contract or plan between such individual and the Company or any of its Subsidiaries could be characterized as an “excess parachute payment” (as such term is defined in Section 280G(b)(1) of the Code) as a result of any of the transactions contemplated by this Agreement, in each case except as required by Mexican Law to the extent applicable. No compensation or benefits paid or payable to any current or former employee, director or consultant of the Company has been or would reasonably be expected to become includible in income under or by operation of Section 409A of the Code, in each case except as required by Mexican Law to the extent applicable.</w:t>
      </w:r>
    </w:p>
    <w:p>
      <w:pPr>
        <w:spacing w:after="0" w:line="138"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1"/>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Foreign Benefit Plan is set forth on </w:t>
      </w:r>
      <w:r>
        <w:rPr>
          <w:rFonts w:ascii="Times New Roman" w:cs="Times New Roman" w:eastAsia="Times New Roman" w:hAnsi="Times New Roman"/>
          <w:sz w:val="12"/>
          <w:szCs w:val="12"/>
          <w:u w:val="single" w:color="auto"/>
          <w:color w:val="auto"/>
        </w:rPr>
        <w:t>Section 4.12(i)</w:t>
      </w:r>
      <w:r>
        <w:rPr>
          <w:rFonts w:ascii="Times New Roman" w:cs="Times New Roman" w:eastAsia="Times New Roman" w:hAnsi="Times New Roman"/>
          <w:sz w:val="12"/>
          <w:szCs w:val="12"/>
          <w:color w:val="auto"/>
        </w:rPr>
        <w:t xml:space="preserve"> of the Company Disclosure Letter. With respect to each Foreign Benefit Plan,</w:t>
      </w:r>
    </w:p>
    <w:p>
      <w:pPr>
        <w:spacing w:after="0" w:line="26" w:lineRule="exact"/>
        <w:rPr>
          <w:rFonts w:ascii="Times New Roman" w:cs="Times New Roman" w:eastAsia="Times New Roman" w:hAnsi="Times New Roman"/>
          <w:sz w:val="12"/>
          <w:szCs w:val="12"/>
          <w:color w:val="auto"/>
        </w:rPr>
      </w:pPr>
    </w:p>
    <w:p>
      <w:pPr>
        <w:ind w:left="640" w:right="679" w:hanging="3"/>
        <w:spacing w:after="0" w:line="243" w:lineRule="auto"/>
        <w:tabs>
          <w:tab w:leader="none" w:pos="79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Foreign Benefit Plan has been maintained, funded and administered in material compliance with applicable laws and the requirements of such Foreign Benefit Plan’s governing documents and any applicable collective bargaining agreements, (ii) such Foreign Benefit Plan has obtained from the Governmental Authority having jurisdiction, with respect to such Foreign Benefit Plan, any determination or registration required in order to give effect to such Foreign Benefit Plan, and any required determinations, if any, that such Foreign Benefit Plan is in compliance in all material respects with the applicable laws and regulations of the relevant jurisdiction if such determinations are required in order to give effect to such Foreign Benefit Plan, (iii) if they are intended to qualify for special tax treatment, satisfy in all material respects the requirements for such treatment, (iv) to the extent providing pension, termination indemnities, long-service awards, jubilee payments, post-termination welfare benefits or similar payments or benefits are set forth on </w:t>
      </w:r>
      <w:r>
        <w:rPr>
          <w:rFonts w:ascii="Times New Roman" w:cs="Times New Roman" w:eastAsia="Times New Roman" w:hAnsi="Times New Roman"/>
          <w:sz w:val="13"/>
          <w:szCs w:val="13"/>
          <w:u w:val="single" w:color="auto"/>
          <w:color w:val="auto"/>
        </w:rPr>
        <w:t>Section 4.12(i)</w:t>
      </w:r>
      <w:r>
        <w:rPr>
          <w:rFonts w:ascii="Times New Roman" w:cs="Times New Roman" w:eastAsia="Times New Roman" w:hAnsi="Times New Roman"/>
          <w:sz w:val="13"/>
          <w:szCs w:val="13"/>
          <w:color w:val="auto"/>
        </w:rPr>
        <w:t xml:space="preserve"> of the Company Disclosure Letter and are fully funded or book reserved, as applicable, in accordance with GAAP, (v) all contributions to such Foreign Benefit Plan have been timely paid or made in full or, to the extent not yet due, properly accrued in accordance with the terms of the Foreign Benefit Plan and all applicable Laws and accounting standards, (vi) there are no pending or, to the Knowledge of the Company, threatened investigations by any Governmental Authority, proceedings or claims (except for claims for benefits in the ordinary course) against such Foreign Benefit Plan, and (vii) neither the execution and delivery of this Agreement, nor the consummation of the transactions contemplated hereby, either alone or in combination with another event (whether contingent or otherwise) will create or otherwise result in any liability with respect to such Foreign Benefit Plan. No Foreign Benefit Plan has any material unfunded or underfunded liabilities not accurately accrued in accordance with applicable accounting standards.</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4.13 </w:t>
      </w:r>
      <w:r>
        <w:rPr>
          <w:rFonts w:ascii="Times New Roman" w:cs="Times New Roman" w:eastAsia="Times New Roman" w:hAnsi="Times New Roman"/>
          <w:sz w:val="13"/>
          <w:szCs w:val="13"/>
          <w:u w:val="single" w:color="auto"/>
          <w:color w:val="auto"/>
        </w:rPr>
        <w:t>Labor Matters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7" w:lineRule="auto"/>
        <w:tabs>
          <w:tab w:leader="none" w:pos="150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to or bound by any works council, collective bargaining or other collective labor agreement. Except as would not have a Company Material Adverse Effect, there are no labor related strikes, walkouts, lockouts, grievances, work stoppages or other labor disputes pending or, to the Knowledge of the Company, threatened, and, since November 1, 2021, neither the Company nor any of its Subsidiaries has experienced any such labor related strike, walkout, lockout, material grievance, organized work stoppage or other material labor dispute. To the Knowledge of the Company, since November 1, 2021, there has been no pending or threatened organizing campaign and no labor union or works council has made a pending written demand for recognition or certification, in each case, with respect to any employees of the Company or any of its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38" w:name="page39"/>
    <w:bookmarkEnd w:id="38"/>
    <w:p>
      <w:pPr>
        <w:ind w:left="640" w:right="679" w:firstLine="693"/>
        <w:spacing w:after="0" w:line="255" w:lineRule="auto"/>
        <w:tabs>
          <w:tab w:leader="none" w:pos="1515"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not implemented any location closing or employee layoffs during the three-year period prior to the date hereof in violation of the Worker Adjustment Retraining and Notification Act of 1988, or any similar state or local plant closing or mass layoff statute, rule or regulation and where any liability remains unsatisfied.</w:t>
      </w:r>
    </w:p>
    <w:p>
      <w:pPr>
        <w:spacing w:after="0" w:line="130" w:lineRule="exact"/>
        <w:rPr>
          <w:rFonts w:ascii="Times New Roman" w:cs="Times New Roman" w:eastAsia="Times New Roman" w:hAnsi="Times New Roman"/>
          <w:sz w:val="13"/>
          <w:szCs w:val="13"/>
          <w:color w:val="auto"/>
        </w:rPr>
      </w:pPr>
    </w:p>
    <w:p>
      <w:pPr>
        <w:ind w:left="640" w:right="979" w:firstLine="693"/>
        <w:spacing w:after="0" w:line="267"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allegation of sexual or other unlawful harassment has been made since November 1, 2021 against any current officer of the Company or any of its Subsidiaries.</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86" w:lineRule="auto"/>
        <w:tabs>
          <w:tab w:leader="none" w:pos="151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the Company, all employees employed in the United States are legally authorized to work in the United States, and the Company maintains completed Form I-9s for all employees in the United States, if and to the extent required by applicable immigration laws, in each case except for non-compliance that would not, individually or in the aggregate, have a Company Material Adverse Effect.</w:t>
      </w:r>
    </w:p>
    <w:p>
      <w:pPr>
        <w:spacing w:after="0" w:line="113" w:lineRule="exact"/>
        <w:rPr>
          <w:rFonts w:ascii="Times New Roman" w:cs="Times New Roman" w:eastAsia="Times New Roman" w:hAnsi="Times New Roman"/>
          <w:sz w:val="12"/>
          <w:szCs w:val="12"/>
          <w:color w:val="auto"/>
        </w:rPr>
      </w:pPr>
    </w:p>
    <w:p>
      <w:pPr>
        <w:ind w:left="640" w:right="819" w:firstLine="693"/>
        <w:spacing w:after="0" w:line="255" w:lineRule="auto"/>
        <w:tabs>
          <w:tab w:leader="none" w:pos="1508"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in material breach of any obligation to consult with or provide information to any works council, labor union or other labor or employee organization in connection with the execution of this Agreement or the consummation of the transactions contemplated or required hereby.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4.14 </w:t>
      </w:r>
      <w:r>
        <w:rPr>
          <w:rFonts w:ascii="Times New Roman" w:cs="Times New Roman" w:eastAsia="Times New Roman" w:hAnsi="Times New Roman"/>
          <w:sz w:val="13"/>
          <w:szCs w:val="13"/>
          <w:u w:val="single" w:color="auto"/>
          <w:color w:val="auto"/>
        </w:rPr>
        <w:t>Intellectual Property; IT Systems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693"/>
        <w:spacing w:after="0" w:line="267" w:lineRule="auto"/>
        <w:tabs>
          <w:tab w:leader="none" w:pos="150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4.14(a)</w:t>
      </w:r>
      <w:r>
        <w:rPr>
          <w:rFonts w:ascii="Times New Roman" w:cs="Times New Roman" w:eastAsia="Times New Roman" w:hAnsi="Times New Roman"/>
          <w:sz w:val="12"/>
          <w:szCs w:val="12"/>
          <w:color w:val="auto"/>
        </w:rPr>
        <w:t xml:space="preserve"> of the Company Disclosure Letter sets forth a complete and accurate list of (i) each item of Registered IP that is Company Intellectual Property (“</w:t>
      </w:r>
      <w:r>
        <w:rPr>
          <w:rFonts w:ascii="Times New Roman" w:cs="Times New Roman" w:eastAsia="Times New Roman" w:hAnsi="Times New Roman"/>
          <w:sz w:val="12"/>
          <w:szCs w:val="12"/>
          <w:b w:val="1"/>
          <w:bCs w:val="1"/>
          <w:color w:val="auto"/>
        </w:rPr>
        <w:t>Company Registered IP</w:t>
      </w:r>
      <w:r>
        <w:rPr>
          <w:rFonts w:ascii="Times New Roman" w:cs="Times New Roman" w:eastAsia="Times New Roman" w:hAnsi="Times New Roman"/>
          <w:sz w:val="12"/>
          <w:szCs w:val="12"/>
          <w:color w:val="auto"/>
        </w:rPr>
        <w:t>”), (ii) the jurisdiction in which such item of Company Registered IP has been registered, issued or filed, the date of registration, issuance or application and the applicable application, registration, or serial or other similar identification number, (iii) the record (and if different, beneficial) owner or applicant and (iv) any other Person that has an ownership interest in such item of Registered IP and the nature of such ownership interest. All Company Registered IP is valid, subsisting and enforceable. To the Knowledge of the Company, no Company Registered IP is involved in, and neither the Company nor any of its Subsidiaries has received, in the three (3) years preceding the date hereof, any written charge, complaint, claim, demand or notice regarding, any pending or threatened interference, opposition, reissue, reexamination, revocation, or equivalent proceeding, action or claim in which the ownership, use, scope, validity or enforceability of any Company Registered IP is being or has been contested or challenged. All registration, maintenance and renewal fees due in connection with all Company Registered IP have been paid in full and all necessary documents in connection with such Company Registered IP have been filed with the relevant Governmental Authority in any applicable jurisdiction for the purposes of maintaining such Company Registered IP, except to the extent that the Company determined not to pay such registration, maintenance and renewal fees in the ordinary course of business.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39" w:name="page40"/>
    <w:bookmarkEnd w:id="39"/>
    <w:p>
      <w:pPr>
        <w:ind w:left="640" w:right="699" w:firstLine="693"/>
        <w:spacing w:after="0" w:line="272" w:lineRule="auto"/>
        <w:tabs>
          <w:tab w:leader="none" w:pos="1515"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2"/>
          <w:szCs w:val="12"/>
          <w:u w:val="single" w:color="auto"/>
          <w:color w:val="auto"/>
        </w:rPr>
        <w:t>Section 4.14(b)</w:t>
      </w:r>
      <w:r>
        <w:rPr>
          <w:rFonts w:ascii="Times New Roman" w:cs="Times New Roman" w:eastAsia="Times New Roman" w:hAnsi="Times New Roman"/>
          <w:sz w:val="12"/>
          <w:szCs w:val="12"/>
          <w:color w:val="auto"/>
        </w:rPr>
        <w:t xml:space="preserve"> of the Company Disclosure Letter, the Company and its Subsidiaries own, or have the valid and enforceable right to use, all Intellectual Property that is used in or necessary for the business of the Company and its Subsidiaries as currently conducted and currently proposed to be conducted. The Company and its Subsidiaries exclusively own all right, title and interest in and to Company Intellectual Property, free and clear of any Liens other than Permitted Liens. Neither the Company nor any of its Subsidiaries is party to or bound by, and no Company Intellectual Property is subject to, any Contract containing any covenant or other provision that limits or restricts the ability of the Company or any of its Subsidiaries to use, assert, enforce, or otherwise exploit any material Company Intellectual Property anywhere in the world.</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4.14(c)</w:t>
      </w:r>
      <w:r>
        <w:rPr>
          <w:rFonts w:ascii="Times New Roman" w:cs="Times New Roman" w:eastAsia="Times New Roman" w:hAnsi="Times New Roman"/>
          <w:sz w:val="13"/>
          <w:szCs w:val="13"/>
          <w:color w:val="auto"/>
        </w:rPr>
        <w:t xml:space="preserve"> of the Company Disclosure Letter or except as would not be material to the Company and its subsidiaries, the conduct of the business of the Company and its Subsidiaries as conducted in the prior three (3) years, as currently conducted and as currently proposed to be conducted, does not infringe upon, misappropriate, dilute or otherwise violate any Intellectual Property of any other Person. None of the Company or any of its Subsidiaries has received, in the three (3) years preceding the date hereof, any written charge, complaint, claim, demand or notice alleging any such infringement, misappropriation, dilution or other violation by the Company or any of its Subsidiaries. To the Knowledge of the Company, as of the date hereof, no other Person is infringing, misappropriating, diluting or otherwise violating in any material respect any Company Intellectual Property Rights. There is no Action pending or threatened by the Company or any of its Subsidiaries against any Person alleging any such infringement, misappropriation, dilution or other violation.</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72" w:lineRule="auto"/>
        <w:tabs>
          <w:tab w:leader="none" w:pos="1515"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current and former officer, director, founder, employee, contractor and consultant of the Company and its Subsidiaries who have contributed to the invention, creation or development of any patents or patent applications or any material Intellectual Property purported to be owned by the Company or any of its Subsidiaries have executed written agreements pursuant to which such Person presently and irrevocably assigns to the Company or one of its Subsidiaries all of such Person’s rights in and to such inventions, creations or developments that may be owned by such Persons or that the Company or any of its Subsidiaries does not already own by operation of law and waives all moral rights with respect to the foregoing in favor of the Company and its Subsidiaries. To the Knowledge of the Company, no such Person is in default or breach of any such agreements.</w:t>
      </w:r>
    </w:p>
    <w:p>
      <w:pPr>
        <w:spacing w:after="0" w:line="123" w:lineRule="exact"/>
        <w:rPr>
          <w:rFonts w:ascii="Times New Roman" w:cs="Times New Roman" w:eastAsia="Times New Roman" w:hAnsi="Times New Roman"/>
          <w:sz w:val="12"/>
          <w:szCs w:val="12"/>
          <w:color w:val="auto"/>
        </w:rPr>
      </w:pPr>
    </w:p>
    <w:p>
      <w:pPr>
        <w:ind w:left="640" w:right="779" w:firstLine="693"/>
        <w:spacing w:after="0" w:line="255" w:lineRule="auto"/>
        <w:tabs>
          <w:tab w:leader="none" w:pos="1508"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taken reasonable actions to maintain and protect the secrecy and confidentiality of all trade secrets and other proprietary confidential information owned or held by the Company or its Subsidiaries. To the Knowledge of the Company, there has been no unauthorized access to or use or disclosure of any such trade secrets or confidential proprietary information.</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49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or performance of this Agreement, nor the consummation of any of the transactions contemplated by this Agreement, will, with or without notice or the lapse of time, result in, or give any other Person the right or option to cause or declare, (i) a loss of, or Lien on, any Company Intellectual Property, or (ii) the grant, assignment, or transfer to any other Person of any license or other right or interest under, to, or in any Company Intellectual Property.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0" w:name="page41"/>
    <w:bookmarkEnd w:id="40"/>
    <w:p>
      <w:pPr>
        <w:ind w:left="640" w:right="699" w:firstLine="693"/>
        <w:spacing w:after="0" w:line="248"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as set forth in </w:t>
      </w:r>
      <w:r>
        <w:rPr>
          <w:rFonts w:ascii="Times New Roman" w:cs="Times New Roman" w:eastAsia="Times New Roman" w:hAnsi="Times New Roman"/>
          <w:sz w:val="13"/>
          <w:szCs w:val="13"/>
          <w:u w:val="single" w:color="auto"/>
          <w:color w:val="auto"/>
        </w:rPr>
        <w:t>Section 4.14(g)</w:t>
      </w:r>
      <w:r>
        <w:rPr>
          <w:rFonts w:ascii="Times New Roman" w:cs="Times New Roman" w:eastAsia="Times New Roman" w:hAnsi="Times New Roman"/>
          <w:sz w:val="13"/>
          <w:szCs w:val="13"/>
          <w:color w:val="auto"/>
        </w:rPr>
        <w:t xml:space="preserve"> of the Company Disclosure Letter, the Company has not used, incorporated into, embedded, combined with, linked to or used in the development of any Company Products, any Open Source Software in any manner that requires (i) any software code owned or authored by or on behalf of the Company to be disclosed or distributed in source code form or be licensed for the purpose of making derivative works, or (ii) any restriction on the consideration to be charged for the distribution of any such Company Products. The Company and its Subsidiaries are in compliance in all material respects with the applicable license terms for any Open Source Software used by Company and its Subsidiaries.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515"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nor ever has been, a member or promoter of, or a contributor to, any industry standards body or similar organization that requires or obligates the Company or any of its Subsidiaries to grant or offer to any other Person any license or right to any Company Intellectual Property or to refrain from enforcing any Company Intellectual Property.</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70" w:lineRule="auto"/>
        <w:tabs>
          <w:tab w:leader="none" w:pos="148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computers, computer software, code, websites, applications, databases, networks, hardware, firmware, middleware, servers, workstations, routers, hubs, switches, data communications lines and all other information technology equipment and assets used by the Company and its Subsidiaries (“</w:t>
      </w:r>
      <w:r>
        <w:rPr>
          <w:rFonts w:ascii="Times New Roman" w:cs="Times New Roman" w:eastAsia="Times New Roman" w:hAnsi="Times New Roman"/>
          <w:sz w:val="12"/>
          <w:szCs w:val="12"/>
          <w:b w:val="1"/>
          <w:bCs w:val="1"/>
          <w:color w:val="auto"/>
        </w:rPr>
        <w:t>IT Systems</w:t>
      </w:r>
      <w:r>
        <w:rPr>
          <w:rFonts w:ascii="Times New Roman" w:cs="Times New Roman" w:eastAsia="Times New Roman" w:hAnsi="Times New Roman"/>
          <w:sz w:val="12"/>
          <w:szCs w:val="12"/>
          <w:color w:val="auto"/>
        </w:rPr>
        <w:t>”) are sufficient in all material respects for the needs of the business of the Company and its Subsidiaries as currently conducted and currently proposed to be conducted. The IT Systems and the Company’s and its Subsidiaries’ related procedures and practices are designed, implemented, operated and maintained in accordance with customary industry standards and practices for entities operating businesses similar to the business of the Company and its Subsidiaries. Without limiting the foregoing, (i) the Company and its Subsidiaries have implemented reasonable industry standard procedures to ensure that their IT Systems are free from Malicious Code, and (ii) the Company and its Subsidiaries have in effect industry standard disaster recovery, data back-up and business continuity plans, procedures and facilities for their business.</w:t>
      </w:r>
    </w:p>
    <w:p>
      <w:pPr>
        <w:spacing w:after="0" w:line="122" w:lineRule="exact"/>
        <w:rPr>
          <w:rFonts w:ascii="Times New Roman" w:cs="Times New Roman" w:eastAsia="Times New Roman" w:hAnsi="Times New Roman"/>
          <w:sz w:val="12"/>
          <w:szCs w:val="12"/>
          <w:color w:val="auto"/>
        </w:rPr>
      </w:pPr>
    </w:p>
    <w:p>
      <w:pPr>
        <w:ind w:left="640" w:right="739" w:firstLine="693"/>
        <w:spacing w:after="0" w:line="275" w:lineRule="auto"/>
        <w:tabs>
          <w:tab w:leader="none" w:pos="148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prior twelve (12) months, there has been no failure or material degradation of any IT Systems of the Company and its Subsidiaries which has caused any material disruption to the business of the Company and its Subsidiaries. To the Knowledge of the Company, the Company and its Subsidiaries have not suffered any material data loss, business interruption or other material harm as a result of any Malicious Code. To the Knowledge of the Company, there have not been any illegal or unauthorized intrusions or breaches of the security of any of the IT Systems. The Company and its Subsidiaries have implemented any and all security patches that are generally available for the IT Systems.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4.15 </w:t>
      </w:r>
      <w:r>
        <w:rPr>
          <w:rFonts w:ascii="Times New Roman" w:cs="Times New Roman" w:eastAsia="Times New Roman" w:hAnsi="Times New Roman"/>
          <w:sz w:val="13"/>
          <w:szCs w:val="13"/>
          <w:u w:val="single" w:color="auto"/>
          <w:color w:val="auto"/>
        </w:rPr>
        <w:t>Data Privacy and Security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69" w:lineRule="auto"/>
        <w:tabs>
          <w:tab w:leader="none" w:pos="150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and, to the Knowledge of the Company, all vendors, processors, or other third parties processing or otherwise with authorization to access Personal Information and/or sharing Personal Information with the Company or its Subsidiaries (“</w:t>
      </w:r>
      <w:r>
        <w:rPr>
          <w:rFonts w:ascii="Times New Roman" w:cs="Times New Roman" w:eastAsia="Times New Roman" w:hAnsi="Times New Roman"/>
          <w:sz w:val="12"/>
          <w:szCs w:val="12"/>
          <w:b w:val="1"/>
          <w:bCs w:val="1"/>
          <w:color w:val="auto"/>
        </w:rPr>
        <w:t>Data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Partners</w:t>
      </w:r>
      <w:r>
        <w:rPr>
          <w:rFonts w:ascii="Times New Roman" w:cs="Times New Roman" w:eastAsia="Times New Roman" w:hAnsi="Times New Roman"/>
          <w:sz w:val="12"/>
          <w:szCs w:val="12"/>
          <w:color w:val="auto"/>
        </w:rPr>
        <w:t>”), comply and have complied in all material respects with all Privacy Laws, Company Privacy Policies and Contracts relating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processing, privacy and security of Personal Information (collectively, the “</w:t>
      </w:r>
      <w:r>
        <w:rPr>
          <w:rFonts w:ascii="Times New Roman" w:cs="Times New Roman" w:eastAsia="Times New Roman" w:hAnsi="Times New Roman"/>
          <w:sz w:val="12"/>
          <w:szCs w:val="12"/>
          <w:b w:val="1"/>
          <w:bCs w:val="1"/>
          <w:color w:val="auto"/>
        </w:rPr>
        <w:t>Company Privacy Commitments</w:t>
      </w:r>
      <w:r>
        <w:rPr>
          <w:rFonts w:ascii="Times New Roman" w:cs="Times New Roman" w:eastAsia="Times New Roman" w:hAnsi="Times New Roman"/>
          <w:sz w:val="12"/>
          <w:szCs w:val="12"/>
          <w:color w:val="auto"/>
        </w:rPr>
        <w:t>”), including compliance with respect to</w:t>
      </w:r>
    </w:p>
    <w:p>
      <w:pPr>
        <w:ind w:left="780" w:hanging="143"/>
        <w:spacing w:after="0"/>
        <w:tabs>
          <w:tab w:leader="none" w:pos="7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Personal Information of Company’s website visitors, customers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representatives of Company customers, the Company’s or its Subsidiaries’ own employees, employees of the Company’s or its Subsidiaries’ vendors, suppliers and other business partners, or any other individual whose Personal Information is processed by the Company or its Subsidiaries or made available on any information technology systems owned by the Company or its Subsidiaries; and (ii) the sending of solicited or unsolicited electronic or telephonic communications, including via email, text message or phone call.</w:t>
      </w:r>
    </w:p>
    <w:p>
      <w:pPr>
        <w:spacing w:after="0" w:line="133" w:lineRule="exact"/>
        <w:rPr>
          <w:sz w:val="20"/>
          <w:szCs w:val="20"/>
          <w:color w:val="auto"/>
        </w:rPr>
      </w:pPr>
    </w:p>
    <w:p>
      <w:pPr>
        <w:ind w:left="640" w:right="659" w:firstLine="693"/>
        <w:spacing w:after="0" w:line="251" w:lineRule="auto"/>
        <w:tabs>
          <w:tab w:leader="none" w:pos="151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execution, delivery and performance of this Agreement by the Company nor the consummation by the Company of the transactions contemplated hereby will (i) violate any Company Privacy Commitments; or (ii) give rise to any right of termination or other right to impair or limit the Company’s or its Subsidiaries’ right to own and process any Personal Information used in or necessary for the operation of the business of the Company or its Subsidiaries.</w:t>
      </w:r>
    </w:p>
    <w:p>
      <w:pPr>
        <w:spacing w:after="0" w:line="132"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5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(A) have implemented and maintain in all material respects complete, accurate and reasonably up to date records of (i) all processing activities of Personal Information (including all consent and authorizations collected by the Company or its Subsidiaries in relation to such processing) and (ii) responses to requests from individuals requesting access, rectification or deletion of Personal Information or other exercise of rights under Privacy Laws, and (B) carry out, and maintain complete, accurate and reasonably up to date records of, privacy impact assessments. The Company and its Subsidiaries, as applicable, have responded to all requests from individuals requesting access, rectification, deletion or other exercise of rights under Privacy Laws, in the time period and in accordance with the other requirements of Company Privacy Commitments.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Personal Information processed by the Company or its Subsidiaries has been collected lawfully (including through the provision of information notices and other disclosures (in the Company Privacy Policies or otherwise) and the collection of valid consent where required by applicable Privacy Laws) and can be used legitimately in the manner used by the Company without breaching any Company Privacy Commitments. The Company and its Subsidiaries have at all times posted and made available on its websites, a Company Privacy Policy in material conformance with Privacy Laws. All Company Privacy Policies published by the Company are and have at all times been accurate, consistent and complete with the actual practices of the Company and its Subsidiaries with respect to the processing of Personal Information. No disclosure or representation made or contained in any Company Privacy Policy published by the Company has been in any material respect inaccurate, misleading, deceptive or in violation of any Privacy Laws (including by containing any material omission).</w:t>
      </w:r>
    </w:p>
    <w:p>
      <w:pPr>
        <w:spacing w:after="0" w:line="138" w:lineRule="exact"/>
        <w:rPr>
          <w:rFonts w:ascii="Times New Roman" w:cs="Times New Roman" w:eastAsia="Times New Roman" w:hAnsi="Times New Roman"/>
          <w:sz w:val="13"/>
          <w:szCs w:val="13"/>
          <w:color w:val="auto"/>
        </w:rPr>
      </w:pPr>
    </w:p>
    <w:p>
      <w:pPr>
        <w:ind w:left="640" w:right="1219" w:firstLine="693"/>
        <w:spacing w:after="0" w:line="267" w:lineRule="auto"/>
        <w:tabs>
          <w:tab w:leader="none" w:pos="1508"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its Subsidiaries have in place written Contracts with all of their customers regarding the Company’s or its Subsidiaries’ processing of Personal Information on behalf of such customers, to the extent applicable and required.</w:t>
      </w:r>
    </w:p>
    <w:p>
      <w:pPr>
        <w:spacing w:after="0" w:line="122" w:lineRule="exact"/>
        <w:rPr>
          <w:rFonts w:ascii="Times New Roman" w:cs="Times New Roman" w:eastAsia="Times New Roman" w:hAnsi="Times New Roman"/>
          <w:sz w:val="13"/>
          <w:szCs w:val="13"/>
          <w:color w:val="auto"/>
        </w:rPr>
      </w:pPr>
    </w:p>
    <w:p>
      <w:pPr>
        <w:ind w:left="640" w:right="819" w:firstLine="693"/>
        <w:spacing w:after="0" w:line="251" w:lineRule="auto"/>
        <w:tabs>
          <w:tab w:leader="none" w:pos="1494"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Company or its Subsidiaries use a Data Partner to process Personal Information or otherwise share or disclose Personal Information with such Data Partner, there is in existence a Contract. Such Data Partner has provided guarantees, warranties or covenants in such Contracts in relation to the processing and protection of Personal Information as required under Privacy Laws. To the Knowledge of the Company, no Data Partner has breached any such Contracts.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2" w:name="page43"/>
    <w:bookmarkEnd w:id="42"/>
    <w:p>
      <w:pPr>
        <w:ind w:left="640" w:right="659" w:firstLine="693"/>
        <w:spacing w:after="0" w:line="246" w:lineRule="auto"/>
        <w:tabs>
          <w:tab w:leader="none" w:pos="151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and its Subsidiaries have, and have contractually required all Data Partners to have, implemented administrative, physical and technical safeguards designed to (i) protect and maintain the confidentiality, integrity, availability and security of Personal Information and any information technology systems owned by the Company or its Subsidiaries against any accidental, unlawful or unauthorized control, use, access, disclosure, interruption, modification, destruction, compromise, corruption or other processing (a “</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and (ii) identify and address internal and external risks to the privacy and security of Personal Information in their possession or control. The Company and its Subsidiaries use, and have at all times used, reliable methods (including passwords) designed to ensure the correct identity of the users of those with access to any information technology systems owned by the Company or its Subsidiaries, and has used reliable protection designed to guarantee the security and integrity of transactions executed through any information technology systems owned by the Company or its Subsidiaries.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15"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result of any Security Incident and/or violation of Company Privacy Commitments in each case occurring on or after November 1, 2021, neither the Company, any Subsidiary or, to the Knowledge of the Company, any Data Partner has: (i) notified or been required to notify any customer, consumer, employee, Governmental Authority or other Person or (ii) received any written notice, inquiry, request, claim, complaint, correspondence or other communication from, or been the subject of any investigation or enforcement action by, any Governmental Authority or other Person. To the Knowledge of the Company, there are no facts or circumstances that could give rise to the occurrence of (i) or (ii).</w:t>
      </w:r>
    </w:p>
    <w:p>
      <w:pPr>
        <w:spacing w:after="0" w:line="134" w:lineRule="exact"/>
        <w:rPr>
          <w:rFonts w:ascii="Times New Roman" w:cs="Times New Roman" w:eastAsia="Times New Roman" w:hAnsi="Times New Roman"/>
          <w:sz w:val="13"/>
          <w:szCs w:val="13"/>
          <w:color w:val="auto"/>
        </w:rPr>
      </w:pPr>
    </w:p>
    <w:p>
      <w:pPr>
        <w:ind w:left="640" w:right="959" w:firstLine="693"/>
        <w:spacing w:after="0" w:line="255" w:lineRule="auto"/>
        <w:tabs>
          <w:tab w:leader="none" w:pos="1487"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maintains insurance coverage containing industry standard policy terms and limits to respond to the risk of liability relating to any Security Incident, unauthorized processing of Personal Information or any violation of Company Privacy Commitments and, since November 1, 2021, no claims have been made under such insurance policy or policies.</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4.16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46" w:lineRule="auto"/>
        <w:tabs>
          <w:tab w:leader="none" w:pos="1508"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Company and each of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the Company and each of its Subsidiaries (whether or not shown to be due on any Tax Returns) have been timely paid in full; (iv) neither the Company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the Company or any of its Subsidiaries does not file a Tax Return that such entity is or may be subject to taxation by that jurisdiction in respect of Taxes that would be covered by or the subject of such Tax Return.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3" w:name="page44"/>
    <w:bookmarkEnd w:id="43"/>
    <w:p>
      <w:pPr>
        <w:ind w:left="640" w:right="719" w:firstLine="693"/>
        <w:spacing w:after="0" w:line="269" w:lineRule="auto"/>
        <w:tabs>
          <w:tab w:leader="none" w:pos="1515" w:val="left"/>
        </w:tabs>
        <w:numPr>
          <w:ilvl w:val="1"/>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Neither the Company nor any of its Subsidiaries has received written notice of any audit, assessment, examination or other Action from any Taxing Authority and there are no pending or, to the Knowledge of the Company, threatened audits, assessments, examinations or other Actions from any Taxing Authority, in each case, in respect of material Taxes of the Company or any of its Subsidiaries, which have not been fully paid or settled; (ii) there are no Liens for material Taxes on any of the assets of the Company or any of its Subsidiaries other than Permitted Liens;</w:t>
      </w:r>
    </w:p>
    <w:p>
      <w:pPr>
        <w:jc w:val="both"/>
        <w:ind w:left="640" w:right="659" w:hanging="3"/>
        <w:spacing w:after="0" w:line="244" w:lineRule="auto"/>
        <w:tabs>
          <w:tab w:leader="none" w:pos="861"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the Company or any of its Subsidiaries have been claimed, proposed or assessed by any Taxing Authority, which have not been fully paid or settled.</w:t>
      </w:r>
    </w:p>
    <w:p>
      <w:pPr>
        <w:spacing w:after="0" w:line="137" w:lineRule="exact"/>
        <w:rPr>
          <w:rFonts w:ascii="Times New Roman" w:cs="Times New Roman" w:eastAsia="Times New Roman" w:hAnsi="Times New Roman"/>
          <w:sz w:val="13"/>
          <w:szCs w:val="13"/>
          <w:color w:val="auto"/>
        </w:rPr>
      </w:pPr>
    </w:p>
    <w:p>
      <w:pPr>
        <w:ind w:left="640" w:right="1099" w:firstLine="693"/>
        <w:spacing w:after="0" w:line="267" w:lineRule="auto"/>
        <w:tabs>
          <w:tab w:leader="none" w:pos="1508"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participated in a transaction that is or is substantially similar to any “listed transaction” as defined in Treasury Regulations Section 1.6011-4(b)(2) (or any similar provision of state, local or non-U.S. Law).</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15"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its Subsidiaries have timely withheld and paid all material Taxes required to have been withheld and paid in connection with amounts paid or owing to any employee, independent contractor, creditor, stockholders of the Company (or any of its Subsidiaries) or other Person and have otherwise complied in all material respects with all applicable Laws relating to the payment, withholding, collection and remittance of Taxes (including information reporting requirements).</w:t>
      </w:r>
    </w:p>
    <w:p>
      <w:pPr>
        <w:spacing w:after="0" w:line="132" w:lineRule="exact"/>
        <w:rPr>
          <w:rFonts w:ascii="Times New Roman" w:cs="Times New Roman" w:eastAsia="Times New Roman" w:hAnsi="Times New Roman"/>
          <w:sz w:val="13"/>
          <w:szCs w:val="13"/>
          <w:color w:val="auto"/>
        </w:rPr>
      </w:pPr>
    </w:p>
    <w:p>
      <w:pPr>
        <w:jc w:val="both"/>
        <w:ind w:left="640" w:right="739" w:firstLine="693"/>
        <w:spacing w:after="0" w:line="269" w:lineRule="auto"/>
        <w:tabs>
          <w:tab w:leader="none" w:pos="1508" w:val="left"/>
        </w:tabs>
        <w:numPr>
          <w:ilvl w:val="1"/>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ever been a member of any affiliated, combined, consolidated, unitary, or similar group for purposes of filing any Tax Returns or paying any amount of Taxes (other than a group the common parent of which is the Company). Neither the Company nor any of its Subsidiaries has any material liability for the Taxes of any Person (other than Taxes of the Company or its Subsidiaries) (i) under Treasury Regulations Section 1.1502-6 (or any similar provision of state, local or non-U.S. Law), (ii) as a transferee or successor, or</w:t>
      </w:r>
    </w:p>
    <w:p>
      <w:pPr>
        <w:ind w:left="860" w:hanging="223"/>
        <w:spacing w:after="0"/>
        <w:tabs>
          <w:tab w:leader="none" w:pos="86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otherwise by operation of Law.</w:t>
      </w:r>
    </w:p>
    <w:p>
      <w:pPr>
        <w:spacing w:after="0" w:line="140" w:lineRule="exact"/>
        <w:rPr>
          <w:rFonts w:ascii="Times New Roman" w:cs="Times New Roman" w:eastAsia="Times New Roman" w:hAnsi="Times New Roman"/>
          <w:sz w:val="13"/>
          <w:szCs w:val="13"/>
          <w:color w:val="auto"/>
        </w:rPr>
      </w:pPr>
    </w:p>
    <w:p>
      <w:pPr>
        <w:ind w:left="640" w:right="719" w:firstLine="693"/>
        <w:spacing w:after="0" w:line="255" w:lineRule="auto"/>
        <w:tabs>
          <w:tab w:leader="none" w:pos="1494"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or has been, a party to or bound by any material Tax indemnity agreement, Tax sharing agreement, Tax allocation agreement or similar Contract (excluding customary Tax indemnification provisions in commercial Contracts entered into in the ordinary course of business not primarily relating to Taxes).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entity classification election pursuant to Treasury Regulations Section 301.7701-3 has been filed with respect to the Company or any of its Subsidiaries. </w:t>
      </w:r>
      <w:r>
        <w:rPr>
          <w:rFonts w:ascii="Times New Roman" w:cs="Times New Roman" w:eastAsia="Times New Roman" w:hAnsi="Times New Roman"/>
          <w:sz w:val="13"/>
          <w:szCs w:val="13"/>
          <w:u w:val="single" w:color="auto"/>
          <w:color w:val="auto"/>
        </w:rPr>
        <w:t>Section 4.16(g)</w:t>
      </w:r>
      <w:r>
        <w:rPr>
          <w:rFonts w:ascii="Times New Roman" w:cs="Times New Roman" w:eastAsia="Times New Roman" w:hAnsi="Times New Roman"/>
          <w:sz w:val="13"/>
          <w:szCs w:val="13"/>
          <w:color w:val="auto"/>
        </w:rPr>
        <w:t xml:space="preserve"> of the Company Disclosure Letter sets forth the entity classification, for U.S. federal and applicable state income tax purposes, of each Subsidiary of the Company that is not classified as a corporation.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4" w:name="page45"/>
    <w:bookmarkEnd w:id="44"/>
    <w:p>
      <w:pPr>
        <w:ind w:left="640" w:right="659" w:firstLine="693"/>
        <w:spacing w:after="0" w:line="249" w:lineRule="auto"/>
        <w:tabs>
          <w:tab w:leader="none" w:pos="15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the Company nor any of its Subsidiaries will be required to include any material item of income in, or exclude any material item of deduction from, taxable income for any period (or any portion thereof) ending after the Closing Date as a result of any installment sale or other transaction entered into on or prior to the Closing Date, any accounting method change or improper use of an accounting method occurring on or prior to the Closing Date, or any prepaid amount or deferred revenue received on or prior to the Closing Date. Neither the Company nor any of its Subsidiaries has made an election pursuant to Section 965(h) of the Code.</w:t>
      </w:r>
    </w:p>
    <w:p>
      <w:pPr>
        <w:spacing w:after="0" w:line="134"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48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bound with respect to the current or any future taxable period by any closing agreement (within the meaning of Section 7121(a) of the Code or any similar or analogous provision of state, local, or non-U.S. Law) or other ruling or similar written agreement with a Taxing Authority, in each case, with respect to material Taxes.</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48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and any of its Affiliates or predecessors by merger or consolidation has been a party to any transaction intended to qualify under Section 355 of the Code at any time in the last two years.</w:t>
      </w:r>
    </w:p>
    <w:p>
      <w:pPr>
        <w:spacing w:after="0" w:line="122" w:lineRule="exact"/>
        <w:rPr>
          <w:rFonts w:ascii="Times New Roman" w:cs="Times New Roman" w:eastAsia="Times New Roman" w:hAnsi="Times New Roman"/>
          <w:sz w:val="13"/>
          <w:szCs w:val="13"/>
          <w:color w:val="auto"/>
        </w:rPr>
      </w:pPr>
    </w:p>
    <w:p>
      <w:pPr>
        <w:ind w:left="640" w:right="1119" w:firstLine="693"/>
        <w:spacing w:after="0" w:line="309" w:lineRule="auto"/>
        <w:tabs>
          <w:tab w:leader="none" w:pos="151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99" w:lineRule="exact"/>
        <w:rPr>
          <w:rFonts w:ascii="Times New Roman" w:cs="Times New Roman" w:eastAsia="Times New Roman" w:hAnsi="Times New Roman"/>
          <w:sz w:val="12"/>
          <w:szCs w:val="12"/>
          <w:color w:val="auto"/>
        </w:rPr>
      </w:pPr>
    </w:p>
    <w:p>
      <w:pPr>
        <w:ind w:left="640" w:right="659" w:firstLine="693"/>
        <w:spacing w:after="0" w:line="255" w:lineRule="auto"/>
        <w:tabs>
          <w:tab w:leader="none" w:pos="148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non-U.S. Subsidiary of the Company is or has been treated as an “expatriated entity” or “surrogate foreign corporation” under Section 7874 of the Code. No non-U.S. Subsidiary of the Company is or has at any time been a corporation treated as a domestic corporation pursuant to Section 7874 of the Code.</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9" w:lineRule="auto"/>
        <w:tabs>
          <w:tab w:leader="none" w:pos="155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and terms for the provision of any property or services by or to the Company or any of its Subsidiaries are in all material respects arm’s length for purposes of the relevant provisions of Section 482 of the Code. All related-party transactions have been conducted on an arm’s-length basis in all material respects, and, since November 1, 2021, the Company and each of its Subsidiaries has prepared, kept and, where required, filed all material transfer pricing documentation in compliance with applicable Law and maintains books and records adequate to evidence the application of arm’s-length terms.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provided or made available to Parent all documentation relating to, and has complied in all material respects with all terms and conditions of, any Tax exemption, Tax holiday, Tax incentive or other Tax reduction agreement or order of a territorial or non-U.S. government.</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15"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Subsidiaries knows of any fact relating to the Company and its Subsidiaries, or has taken or agreed to take any action, that would reasonably be expected to prevent or impede the Mergers, taken together, from qualifying for the Intended Tax Treatment.</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Mexican Subsidiary of the Company (i) has complied in all material respects with all applicable requirements regarding its beneficial owners under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other applicable Mexican tax laws, (ii) has not entered into transactions with Persons included in the provisional or definitive lists referred to in Article 69-B of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xml:space="preserve">, (iii) has complied in all material respects with the disclosure obligations for reportable schemes under the </w:t>
      </w:r>
      <w:r>
        <w:rPr>
          <w:rFonts w:ascii="Times New Roman" w:cs="Times New Roman" w:eastAsia="Times New Roman" w:hAnsi="Times New Roman"/>
          <w:sz w:val="13"/>
          <w:szCs w:val="13"/>
          <w:i w:val="1"/>
          <w:iCs w:val="1"/>
          <w:color w:val="auto"/>
        </w:rPr>
        <w:t>Código Fiscal de la Federación</w:t>
      </w:r>
      <w:r>
        <w:rPr>
          <w:rFonts w:ascii="Times New Roman" w:cs="Times New Roman" w:eastAsia="Times New Roman" w:hAnsi="Times New Roman"/>
          <w:sz w:val="13"/>
          <w:szCs w:val="13"/>
          <w:color w:val="auto"/>
        </w:rPr>
        <w:t>, (iv) has not made</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5" w:name="page46"/>
    <w:bookmarkEnd w:id="45"/>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payments through outsourcing or subcontracting schemes that are prohibited or noncompliant under applicable Mexican tax law, (v) has not derived income through entities or arrangements treated as fiscally transparent for purposes of Article 4-B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not been subject to preferential tax regimes within the meaning of Articles 176 and 177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has filed, where applicable, the informative returns contemplated by Article 178 of the </w:t>
      </w:r>
      <w:r>
        <w:rPr>
          <w:rFonts w:ascii="Times New Roman" w:cs="Times New Roman" w:eastAsia="Times New Roman" w:hAnsi="Times New Roman"/>
          <w:sz w:val="13"/>
          <w:szCs w:val="13"/>
          <w:i w:val="1"/>
          <w:iCs w:val="1"/>
          <w:color w:val="auto"/>
        </w:rPr>
        <w:t>Ley del Impuesto sobre la Renta</w:t>
      </w:r>
      <w:r>
        <w:rPr>
          <w:rFonts w:ascii="Times New Roman" w:cs="Times New Roman" w:eastAsia="Times New Roman" w:hAnsi="Times New Roman"/>
          <w:sz w:val="13"/>
          <w:szCs w:val="13"/>
          <w:color w:val="auto"/>
        </w:rPr>
        <w:t xml:space="preserve">, and (vi) has not entered into agreements that could be deemed an asociación en participación within the meaning of Article 17-B of the </w:t>
      </w:r>
      <w:r>
        <w:rPr>
          <w:rFonts w:ascii="Times New Roman" w:cs="Times New Roman" w:eastAsia="Times New Roman" w:hAnsi="Times New Roman"/>
          <w:sz w:val="13"/>
          <w:szCs w:val="13"/>
          <w:i w:val="1"/>
          <w:iCs w:val="1"/>
          <w:color w:val="auto"/>
        </w:rPr>
        <w:t>Federal Fiscal Code</w:t>
      </w:r>
      <w:r>
        <w:rPr>
          <w:rFonts w:ascii="Times New Roman" w:cs="Times New Roman" w:eastAsia="Times New Roman" w:hAnsi="Times New Roman"/>
          <w:sz w:val="13"/>
          <w:szCs w:val="13"/>
          <w:color w:val="auto"/>
        </w:rPr>
        <w:t>. The tax attributes of such Mexican Subsidiary, including the capital contribution account (</w:t>
      </w:r>
      <w:r>
        <w:rPr>
          <w:rFonts w:ascii="Times New Roman" w:cs="Times New Roman" w:eastAsia="Times New Roman" w:hAnsi="Times New Roman"/>
          <w:sz w:val="13"/>
          <w:szCs w:val="13"/>
          <w:i w:val="1"/>
          <w:iCs w:val="1"/>
          <w:color w:val="auto"/>
        </w:rPr>
        <w:t>Cuenta de Capital de Aportación</w:t>
      </w:r>
      <w:r>
        <w:rPr>
          <w:rFonts w:ascii="Times New Roman" w:cs="Times New Roman" w:eastAsia="Times New Roman" w:hAnsi="Times New Roman"/>
          <w:sz w:val="13"/>
          <w:szCs w:val="13"/>
          <w:color w:val="auto"/>
        </w:rPr>
        <w:t>) and the net after-tax profits account (</w:t>
      </w:r>
      <w:r>
        <w:rPr>
          <w:rFonts w:ascii="Times New Roman" w:cs="Times New Roman" w:eastAsia="Times New Roman" w:hAnsi="Times New Roman"/>
          <w:sz w:val="13"/>
          <w:szCs w:val="13"/>
          <w:i w:val="1"/>
          <w:iCs w:val="1"/>
          <w:color w:val="auto"/>
        </w:rPr>
        <w:t>Cuenta de Utilidad Fiscal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Neta</w:t>
      </w:r>
      <w:r>
        <w:rPr>
          <w:rFonts w:ascii="Times New Roman" w:cs="Times New Roman" w:eastAsia="Times New Roman" w:hAnsi="Times New Roman"/>
          <w:sz w:val="13"/>
          <w:szCs w:val="13"/>
          <w:color w:val="auto"/>
        </w:rPr>
        <w:t>), reflect in all material respects correct and complete amounts and have been determined and updated in compliance in all material respects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applicable Mexican Tax Laws.</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4.17 </w:t>
      </w:r>
      <w:r>
        <w:rPr>
          <w:rFonts w:ascii="Times New Roman" w:cs="Times New Roman" w:eastAsia="Times New Roman" w:hAnsi="Times New Roman"/>
          <w:sz w:val="13"/>
          <w:szCs w:val="13"/>
          <w:u w:val="single" w:color="auto"/>
          <w:color w:val="auto"/>
        </w:rPr>
        <w:t>Material Contracts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79" w:lineRule="auto"/>
        <w:tabs>
          <w:tab w:leader="none" w:pos="1508"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4.17(a)</w:t>
      </w:r>
      <w:r>
        <w:rPr>
          <w:rFonts w:ascii="Times New Roman" w:cs="Times New Roman" w:eastAsia="Times New Roman" w:hAnsi="Times New Roman"/>
          <w:sz w:val="12"/>
          <w:szCs w:val="12"/>
          <w:color w:val="auto"/>
        </w:rPr>
        <w:t xml:space="preserve"> of the Company Disclosure Letter sets forth a true and complete list, as of the date hereof, of each Company Material Contract. For purposes of this Agreement,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means any Contract (other than (except with respect to clause (vii)) any Company Benefit Plan, Real Property Lease or Contract solely between or among the Company and/or any of its Subsidiaries) to which the Company or any of its Subsidiaries is a party or their respective properties or assets are bound which are in effect, except for this Agreement, that:</w:t>
      </w:r>
    </w:p>
    <w:p>
      <w:pPr>
        <w:spacing w:after="0" w:line="40" w:lineRule="exact"/>
        <w:rPr>
          <w:rFonts w:ascii="Times New Roman" w:cs="Times New Roman" w:eastAsia="Times New Roman" w:hAnsi="Times New Roman"/>
          <w:sz w:val="12"/>
          <w:szCs w:val="12"/>
          <w:color w:val="auto"/>
        </w:rPr>
      </w:pPr>
    </w:p>
    <w:p>
      <w:pPr>
        <w:ind w:left="1760" w:hanging="145"/>
        <w:spacing w:after="0"/>
        <w:tabs>
          <w:tab w:leader="none" w:pos="176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 “material contract” (as such term is defined in item 601(b)(10) of Regulation S-K of the SEC);</w:t>
      </w:r>
    </w:p>
    <w:p>
      <w:pPr>
        <w:spacing w:after="0" w:line="77" w:lineRule="exact"/>
        <w:rPr>
          <w:rFonts w:ascii="Times New Roman" w:cs="Times New Roman" w:eastAsia="Times New Roman" w:hAnsi="Times New Roman"/>
          <w:sz w:val="13"/>
          <w:szCs w:val="13"/>
          <w:color w:val="auto"/>
        </w:rPr>
      </w:pPr>
    </w:p>
    <w:p>
      <w:pPr>
        <w:ind w:left="940" w:right="719" w:firstLine="675"/>
        <w:spacing w:after="0" w:line="309" w:lineRule="auto"/>
        <w:tabs>
          <w:tab w:leader="none" w:pos="1794" w:val="left"/>
        </w:tabs>
        <w:numPr>
          <w:ilvl w:val="1"/>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provides for or governs the formation, creation, operation, management or control of any partnership, joint venture, strategic alliance or collaboration or (B) otherwise provides for the sharing of revenues, profits, losses, costs or liabilities or for marketing or distribution;</w:t>
      </w:r>
    </w:p>
    <w:p>
      <w:pPr>
        <w:spacing w:after="0" w:line="23" w:lineRule="exact"/>
        <w:rPr>
          <w:rFonts w:ascii="Times New Roman" w:cs="Times New Roman" w:eastAsia="Times New Roman" w:hAnsi="Times New Roman"/>
          <w:sz w:val="12"/>
          <w:szCs w:val="12"/>
          <w:color w:val="auto"/>
        </w:rPr>
      </w:pPr>
    </w:p>
    <w:p>
      <w:pPr>
        <w:ind w:left="1840" w:hanging="225"/>
        <w:spacing w:after="0"/>
        <w:tabs>
          <w:tab w:leader="none" w:pos="1840"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contains minimum payment obligations or performance guarantees by the Company or any of its Subsidiaries;</w:t>
      </w:r>
    </w:p>
    <w:p>
      <w:pPr>
        <w:spacing w:after="0" w:line="77" w:lineRule="exact"/>
        <w:rPr>
          <w:rFonts w:ascii="Times New Roman" w:cs="Times New Roman" w:eastAsia="Times New Roman" w:hAnsi="Times New Roman"/>
          <w:sz w:val="13"/>
          <w:szCs w:val="13"/>
          <w:color w:val="auto"/>
        </w:rPr>
      </w:pPr>
    </w:p>
    <w:p>
      <w:pPr>
        <w:ind w:left="940" w:right="959" w:firstLine="675"/>
        <w:spacing w:after="0" w:line="267" w:lineRule="auto"/>
        <w:tabs>
          <w:tab w:leader="none" w:pos="1822"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annual payments by the Company and its Subsidiaries of collectively $3,000,000 or more, other than pursuant to a Contract that is terminable by the Company upon notice of ninety (90) days or less without penalty;</w:t>
      </w:r>
    </w:p>
    <w:p>
      <w:pPr>
        <w:spacing w:after="0" w:line="46" w:lineRule="exact"/>
        <w:rPr>
          <w:rFonts w:ascii="Times New Roman" w:cs="Times New Roman" w:eastAsia="Times New Roman" w:hAnsi="Times New Roman"/>
          <w:sz w:val="13"/>
          <w:szCs w:val="13"/>
          <w:color w:val="auto"/>
        </w:rPr>
      </w:pPr>
    </w:p>
    <w:p>
      <w:pPr>
        <w:ind w:left="940" w:right="659" w:firstLine="675"/>
        <w:spacing w:after="0" w:line="249" w:lineRule="auto"/>
        <w:tabs>
          <w:tab w:leader="none" w:pos="1787" w:val="left"/>
        </w:tabs>
        <w:numPr>
          <w:ilvl w:val="1"/>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with (A) a supplier or vendor of the Company to which the Company made payments of more than $3,000,000 during the fiscal year ended October 31, 2025 (each a “</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or (B) a customer of the Company from which the Company received payments of more than $3,000,000 during the fiscal year ended October 31, 2025 (each a “</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other than (A) any such Contract that is terminable by the Company upon notice of ninety (90) days or less without penalty and (B) purchase orders in the ordinary course of business consistent with past practice;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46" w:name="page47"/>
    <w:bookmarkEnd w:id="46"/>
    <w:p>
      <w:pPr>
        <w:jc w:val="both"/>
        <w:ind w:left="940" w:right="839" w:firstLine="675"/>
        <w:spacing w:after="0" w:line="286" w:lineRule="auto"/>
        <w:tabs>
          <w:tab w:leader="none" w:pos="1822"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 the Company or any of its Subsidiaries grants any Person any right or license to market, advertise, sell, offer to sell, distribute, deliver or otherwise make available any Company Product or (B) the Company or any of its Subsidiaries is granted any right or license to market, advertise, sell, offer to sell, distribute, deliver or otherwise make available any product or service of any Person;</w:t>
      </w:r>
    </w:p>
    <w:p>
      <w:pPr>
        <w:spacing w:after="0" w:line="37" w:lineRule="exact"/>
        <w:rPr>
          <w:rFonts w:ascii="Times New Roman" w:cs="Times New Roman" w:eastAsia="Times New Roman" w:hAnsi="Times New Roman"/>
          <w:sz w:val="12"/>
          <w:szCs w:val="12"/>
          <w:color w:val="auto"/>
        </w:rPr>
      </w:pPr>
    </w:p>
    <w:p>
      <w:pPr>
        <w:ind w:left="940" w:right="659" w:firstLine="675"/>
        <w:spacing w:after="0" w:line="248" w:lineRule="auto"/>
        <w:tabs>
          <w:tab w:leader="none" w:pos="185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is with any officer, employee or other individual service provider providing target annual compensation (whether cash and/or otherwise) in excess of $200,000; (B) is or contains a change in control, retention or severance contract or provides for the payment of any cash or other compensation or benefits that are payable upon the consummation of the transactions contemplated by this Agreement; (C) otherwise restricts the Company’s or any of its Subsidiaries’ ability to terminate the employment or engagement of any employee or consultant at any time for any lawful reason or for no reason without penalty or liability; or (D) is a collective bargaining agreement, works council agreement, labor contract or other written agreement or arrangement with any labor union or any employee organization;</w:t>
      </w:r>
    </w:p>
    <w:p>
      <w:pPr>
        <w:spacing w:after="0" w:line="58" w:lineRule="exact"/>
        <w:rPr>
          <w:rFonts w:ascii="Times New Roman" w:cs="Times New Roman" w:eastAsia="Times New Roman" w:hAnsi="Times New Roman"/>
          <w:sz w:val="13"/>
          <w:szCs w:val="13"/>
          <w:color w:val="auto"/>
        </w:rPr>
      </w:pPr>
    </w:p>
    <w:p>
      <w:pPr>
        <w:ind w:left="940" w:right="879" w:firstLine="675"/>
        <w:spacing w:after="0" w:line="255" w:lineRule="auto"/>
        <w:tabs>
          <w:tab w:leader="none" w:pos="189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loan, guarantee of indebtedness or credit agreement, note, mortgage, indenture or other binding commitment relating to indebtedness for borrowed money (other than those related to trade payables arising in the ordinary course of business consistent with past practice);</w:t>
      </w:r>
    </w:p>
    <w:p>
      <w:pPr>
        <w:spacing w:after="0" w:line="54"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2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constitutes any acquisition or divestiture Contract or material licensing agreement that contains representations, covenants, indemnities or other obligations (including “earnout” or other contingent payment obligations) which have not been satisfied and fully terminated prior to the date of this Agreement;</w:t>
      </w:r>
    </w:p>
    <w:p>
      <w:pPr>
        <w:spacing w:after="0" w:line="54" w:lineRule="exact"/>
        <w:rPr>
          <w:rFonts w:ascii="Times New Roman" w:cs="Times New Roman" w:eastAsia="Times New Roman" w:hAnsi="Times New Roman"/>
          <w:sz w:val="13"/>
          <w:szCs w:val="13"/>
          <w:color w:val="auto"/>
        </w:rPr>
      </w:pPr>
    </w:p>
    <w:p>
      <w:pPr>
        <w:ind w:left="940" w:right="659" w:firstLine="675"/>
        <w:spacing w:after="0" w:line="255" w:lineRule="auto"/>
        <w:tabs>
          <w:tab w:leader="none" w:pos="1787"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an agreement entered into outside the ordinary course of business consistent with past practice that contractually requires future expenditures or receipts by the Company or any of its Subsidiaries of more than $1,000,000 in any one year period that cannot be terminated on less than ninety (90) days’ notice without material payment or penalty;</w:t>
      </w:r>
    </w:p>
    <w:p>
      <w:pPr>
        <w:spacing w:after="0" w:line="54" w:lineRule="exact"/>
        <w:rPr>
          <w:rFonts w:ascii="Times New Roman" w:cs="Times New Roman" w:eastAsia="Times New Roman" w:hAnsi="Times New Roman"/>
          <w:sz w:val="13"/>
          <w:szCs w:val="13"/>
          <w:color w:val="auto"/>
        </w:rPr>
      </w:pPr>
    </w:p>
    <w:p>
      <w:pPr>
        <w:ind w:left="940" w:right="779" w:firstLine="675"/>
        <w:spacing w:after="0" w:line="267" w:lineRule="auto"/>
        <w:tabs>
          <w:tab w:leader="none" w:pos="182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grants any rights of first refusal or rights of first offer to any Person with respect to any material asset or Equity Interests of the Company or any of its Subsidiaries;</w:t>
      </w:r>
    </w:p>
    <w:p>
      <w:pPr>
        <w:spacing w:after="0" w:line="46" w:lineRule="exact"/>
        <w:rPr>
          <w:rFonts w:ascii="Times New Roman" w:cs="Times New Roman" w:eastAsia="Times New Roman" w:hAnsi="Times New Roman"/>
          <w:sz w:val="13"/>
          <w:szCs w:val="13"/>
          <w:color w:val="auto"/>
        </w:rPr>
      </w:pPr>
    </w:p>
    <w:p>
      <w:pPr>
        <w:ind w:left="940" w:right="1079" w:firstLine="675"/>
        <w:spacing w:after="0" w:line="309" w:lineRule="auto"/>
        <w:tabs>
          <w:tab w:leader="none" w:pos="1857"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an agreement purporting to indemnify or hold harmless any director, officer or employee of the Company or any of its Subsidiaries (other than the Company Charter, Company Bylaws and the organizational documents of the Company’s Subsidiaries);</w:t>
      </w:r>
    </w:p>
    <w:p>
      <w:pPr>
        <w:spacing w:after="0" w:line="23" w:lineRule="exact"/>
        <w:rPr>
          <w:rFonts w:ascii="Times New Roman" w:cs="Times New Roman" w:eastAsia="Times New Roman" w:hAnsi="Times New Roman"/>
          <w:sz w:val="12"/>
          <w:szCs w:val="12"/>
          <w:color w:val="auto"/>
        </w:rPr>
      </w:pPr>
    </w:p>
    <w:p>
      <w:pPr>
        <w:ind w:left="940" w:right="839" w:firstLine="675"/>
        <w:spacing w:after="0" w:line="249" w:lineRule="auto"/>
        <w:tabs>
          <w:tab w:leader="none" w:pos="1892"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prohibits or restricts the Company or any of its Subsidiaries, or, after the Second Effective Time, Parent, the Surviving Company or any of their respective Affiliates (A) from engaging or competing in any line of business, in any geographical location or with any Person (including any Contract granting exclusive rights or rights of first refusal or negotiation to license, market, advertise, sell, offer to sell, distribute, deliver or otherwise make available any Company Product or any Intellectual Property or other asset of the Company or any of its Subsidiaries), (B) from soliciting any client or customer,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47" w:name="page48"/>
    <w:bookmarkEnd w:id="47"/>
    <w:p>
      <w:pPr>
        <w:ind w:left="9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each case in any manner that is material to the Company or that would restrict in any material respect Parent or its Subsidiaries following the Closing, (C) selling, distributing or acquiring any products, services, Intellectual Property or other assets of or to any other Person in any geographic region, except for non-exclusive licenses entered into in the ordinary course of business, or (D) determining pricing for any Company Product in its discretion (including any Contract providing for “most favored nation” terms);</w:t>
      </w:r>
    </w:p>
    <w:p>
      <w:pPr>
        <w:spacing w:after="0" w:line="57" w:lineRule="exact"/>
        <w:rPr>
          <w:sz w:val="20"/>
          <w:szCs w:val="20"/>
          <w:color w:val="auto"/>
        </w:rPr>
      </w:pPr>
    </w:p>
    <w:p>
      <w:pPr>
        <w:ind w:left="940" w:right="1099" w:firstLine="675"/>
        <w:spacing w:after="0" w:line="267" w:lineRule="auto"/>
        <w:tabs>
          <w:tab w:leader="none" w:pos="188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expressly limits or restricts the ability of the Company or any of its Subsidiaries to make distributions or declare or pay dividends in respect of their Equity Interests;</w:t>
      </w:r>
    </w:p>
    <w:p>
      <w:pPr>
        <w:spacing w:after="0" w:line="46" w:lineRule="exact"/>
        <w:rPr>
          <w:rFonts w:ascii="Times New Roman" w:cs="Times New Roman" w:eastAsia="Times New Roman" w:hAnsi="Times New Roman"/>
          <w:sz w:val="13"/>
          <w:szCs w:val="13"/>
          <w:color w:val="auto"/>
        </w:rPr>
      </w:pPr>
    </w:p>
    <w:p>
      <w:pPr>
        <w:ind w:left="940" w:right="679" w:firstLine="675"/>
        <w:spacing w:after="0" w:line="251" w:lineRule="auto"/>
        <w:tabs>
          <w:tab w:leader="none" w:pos="185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involves the settlement of any pending or threatened claim, action or proceeding (A) which (1) will involve payment obligations after the date hereof, or involved payments, in excess of $500,000 or (2) will impose, or imposed, any material continuing non-monetary obligations on the Company or any of its Subsidiaries (or, to the Knowledge of the Company, Parent or any of its other Affiliates from and after the Closing), or (B) with respect to which conditions precedent to the settlement have not been satisfied;</w:t>
      </w:r>
    </w:p>
    <w:p>
      <w:pPr>
        <w:spacing w:after="0" w:line="56" w:lineRule="exact"/>
        <w:rPr>
          <w:rFonts w:ascii="Times New Roman" w:cs="Times New Roman" w:eastAsia="Times New Roman" w:hAnsi="Times New Roman"/>
          <w:sz w:val="13"/>
          <w:szCs w:val="13"/>
          <w:color w:val="auto"/>
        </w:rPr>
      </w:pPr>
    </w:p>
    <w:p>
      <w:pPr>
        <w:ind w:left="940" w:right="879" w:firstLine="675"/>
        <w:spacing w:after="0" w:line="249" w:lineRule="auto"/>
        <w:tabs>
          <w:tab w:leader="none" w:pos="1885"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been entered into between the Company or any of its Subsidiaries, on the one hand, and any officer, director or Affiliate (other than a wholly owned Subsidiary of the Company) of the Company or any of its Subsidiaries or any of their respective “associates” or “immediate family” members (as such terms are defined in Rule 12b-2 and Rule 16a-1 of the Exchange Act), on the other hand, including any Contract pursuant to which the Company or any of its Subsidiaries has an obligation to indemnify such officer, director, Affiliate or family member (but not including any Company Benefit Plan or Company Equity Plan);</w:t>
      </w:r>
    </w:p>
    <w:p>
      <w:pPr>
        <w:spacing w:after="0" w:line="58" w:lineRule="exact"/>
        <w:rPr>
          <w:rFonts w:ascii="Times New Roman" w:cs="Times New Roman" w:eastAsia="Times New Roman" w:hAnsi="Times New Roman"/>
          <w:sz w:val="13"/>
          <w:szCs w:val="13"/>
          <w:color w:val="auto"/>
        </w:rPr>
      </w:pPr>
    </w:p>
    <w:p>
      <w:pPr>
        <w:ind w:left="1920" w:hanging="305"/>
        <w:spacing w:after="0"/>
        <w:tabs>
          <w:tab w:leader="none" w:pos="192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Contract with any Governmental Authority;</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70" w:lineRule="auto"/>
        <w:tabs>
          <w:tab w:leader="none" w:pos="1955"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which any Intellectual Property is licensed, sold, assigned or otherwise conveyed or provided to the Company or any of its Subsidiaries or pursuant to which any Person has agreed not to enforce any Intellectual Property against the Company or any of its Subsidiaries, other than (A) Contracts for commercially available hardware or software licensed or otherwise made available pursuant to shrink wrap, click through or other standard licensing terms and which are not incorporated into or bundled with Company Products, in each case, with annual or one-time license, maintenance, support and other fees of $50,000 or less,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or (C) offer letters, employment agreements, invention assignment agreements, individual consulting agreements, and individual contracting agreements; 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48" w:name="page49"/>
    <w:bookmarkEnd w:id="48"/>
    <w:p>
      <w:pPr>
        <w:ind w:left="940" w:right="699" w:firstLine="675"/>
        <w:spacing w:after="0" w:line="246" w:lineRule="auto"/>
        <w:tabs>
          <w:tab w:leader="none" w:pos="1885" w:val="left"/>
        </w:tabs>
        <w:numPr>
          <w:ilvl w:val="1"/>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which any Intellectual Property is or has been licensed (whether or not such license is currently exercisable), sold, assigned or otherwise conveyed or provided to a third party by the Company or any of its Subsidiaries, or pursuant to which the Company or any of its Subsidiaries has agreed not to enforce any Intellectual Property against any Person, other than (A) non-exclusive licenses to Company Products granted to customers in the ordinary course of business consistent with past practice, (B) permitted use rights to confidential information in a non-disclosure or similar agreement granting a limited right to use confidential information subject to customary protections to preserve confidentiality and proprietary rights, entered into in the ordinary course of business consistent with past practice, and (C) offer letters, employment agreements, invention assignment agreements, individual consulting agreements, and individual contracting agreements entered into in the ordinary course of business consistent with past practice on a form previously provided to Parent, and (D) non-exclusive licenses to trademarks and other marketing and advertising materials granted in the ordinary course of business consistent with past practice solely to enable the advertising and marketing of Company Products.</w:t>
      </w:r>
    </w:p>
    <w:p>
      <w:pPr>
        <w:spacing w:after="0" w:line="135" w:lineRule="exact"/>
        <w:rPr>
          <w:rFonts w:ascii="Times New Roman" w:cs="Times New Roman" w:eastAsia="Times New Roman" w:hAnsi="Times New Roman"/>
          <w:sz w:val="13"/>
          <w:szCs w:val="13"/>
          <w:color w:val="auto"/>
        </w:rPr>
      </w:pPr>
    </w:p>
    <w:p>
      <w:pPr>
        <w:ind w:left="640" w:right="679" w:firstLine="693"/>
        <w:spacing w:after="0" w:line="269" w:lineRule="auto"/>
        <w:tabs>
          <w:tab w:leader="none" w:pos="1515"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(i) each Company Material Contract is a legal, valid, binding and enforceable obligation of the Company or the Subsidiary party thereto and is in full force and effect (except as may be limited by the Enforceability Exceptions) and (ii) none of the Company, any of its Subsidiaries or, to the Knowledge of the Company, any counterparty is in breach of or default under the terms of any Company Material Contract. Except as set forth in </w:t>
      </w:r>
      <w:r>
        <w:rPr>
          <w:rFonts w:ascii="Times New Roman" w:cs="Times New Roman" w:eastAsia="Times New Roman" w:hAnsi="Times New Roman"/>
          <w:sz w:val="12"/>
          <w:szCs w:val="12"/>
          <w:u w:val="single" w:color="auto"/>
          <w:color w:val="auto"/>
        </w:rPr>
        <w:t>Section 4.17(b)</w:t>
      </w:r>
      <w:r>
        <w:rPr>
          <w:rFonts w:ascii="Times New Roman" w:cs="Times New Roman" w:eastAsia="Times New Roman" w:hAnsi="Times New Roman"/>
          <w:sz w:val="12"/>
          <w:szCs w:val="12"/>
          <w:color w:val="auto"/>
        </w:rPr>
        <w:t xml:space="preserve"> of the Company Disclosure Letter, neither the Company nor any of its Subsidiaries has received any written, nor to the Knowledge of the Company, oral notice or claim from any third party to any Company Material Contract of any material violation, default, termination, cancellation, or discontinuance under any Company Material Contract. The term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shall be deemed to include any Contract entered into after the date of this Agreement that, if entered into prior to the date hereof, would qualify as a Company Material Contract. Accurate and complete copies of each Company Material Contract as of the date of this Agreement have been made available by the Company to Parent, in each case prior to the date of this Agreement.</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4.18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0" w:lineRule="auto"/>
        <w:tabs>
          <w:tab w:leader="none" w:pos="1508"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sets forth a true and complete list of the street address of each parcel under which the Company or any of its Subsidiaries owns any interest in real property (the “</w:t>
      </w:r>
      <w:r>
        <w:rPr>
          <w:rFonts w:ascii="Times New Roman" w:cs="Times New Roman" w:eastAsia="Times New Roman" w:hAnsi="Times New Roman"/>
          <w:sz w:val="12"/>
          <w:szCs w:val="12"/>
          <w:b w:val="1"/>
          <w:bCs w:val="1"/>
          <w:color w:val="auto"/>
        </w:rPr>
        <w:t>Owned Real Property</w:t>
      </w:r>
      <w:r>
        <w:rPr>
          <w:rFonts w:ascii="Times New Roman" w:cs="Times New Roman" w:eastAsia="Times New Roman" w:hAnsi="Times New Roman"/>
          <w:sz w:val="12"/>
          <w:szCs w:val="12"/>
          <w:color w:val="auto"/>
        </w:rPr>
        <w:t xml:space="preserve">”). The Company or one of its Subsidiaries owns fee simple title to each Owned Real Property, free and clear of all Liens, other than Permitted Liens. Except as set forth in </w:t>
      </w:r>
      <w:r>
        <w:rPr>
          <w:rFonts w:ascii="Times New Roman" w:cs="Times New Roman" w:eastAsia="Times New Roman" w:hAnsi="Times New Roman"/>
          <w:sz w:val="12"/>
          <w:szCs w:val="12"/>
          <w:u w:val="single" w:color="auto"/>
          <w:color w:val="auto"/>
        </w:rPr>
        <w:t>Section 4.18(a)</w:t>
      </w:r>
      <w:r>
        <w:rPr>
          <w:rFonts w:ascii="Times New Roman" w:cs="Times New Roman" w:eastAsia="Times New Roman" w:hAnsi="Times New Roman"/>
          <w:sz w:val="12"/>
          <w:szCs w:val="12"/>
          <w:color w:val="auto"/>
        </w:rPr>
        <w:t xml:space="preserve"> of the Company Disclosure Letter, there are no written agreements to which the Company or any of its Subsidiaries is a party which restrict in any respect the Company or any of its Subsidiaries from transferring any of the Owned Real Properties, and none of the Owned Real Properties is subject to any restriction on the sale or other disposition thereof or on the financing or release of financing thereon. No Person other than the Company or its Subsidiaries has any ownership interest in any of the Owned Real Properties, and neither the Company nor any of its Subsidiaries has granted any person an option, right of first offer, or right of first refusal to purchase any Owned Real Property or any portion thereof or interest therein.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firstLine="693"/>
        <w:spacing w:after="0" w:line="245" w:lineRule="auto"/>
        <w:tabs>
          <w:tab w:leader="none" w:pos="151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Section 4.18(b)</w:t>
      </w:r>
      <w:r>
        <w:rPr>
          <w:rFonts w:ascii="Times New Roman" w:cs="Times New Roman" w:eastAsia="Times New Roman" w:hAnsi="Times New Roman"/>
          <w:sz w:val="13"/>
          <w:szCs w:val="13"/>
          <w:color w:val="auto"/>
        </w:rPr>
        <w:t xml:space="preserve"> of the Company Disclosure Letter sets forth a true and complete list of each lease, sublease, license, easement and other similar occupancy agreement, together with any amendments, renewals and guarantees thereof or thereto (each, a “</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and the street address of each parcel under which the Company or any of its Subsidiaries uses or occupies or has the right to use or occupy any real property at which operations of the Company and its Subsidiaries are conducted (the “</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and together with the Owned Real Property, the “</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The Company has made available to Parent a true and complete copy of each Real Property Lease. Each Real Property Lease is valid, binding and in full force and effect. Except as set forth in Section 4.18(b) of the Company Disclosure Letter, none of the Company, any of its Subsidiaries or, to the Knowledge of the Company, any counterparty, is in breach or default under any Real Property Lease, and no event has occurred or circumstance exists which, with or without notice, lapse of time, or both, would constitute a default by the Company, any of its Subsidiaries or, to the Knowledge of the Company, any counterparty under any Real Property Lease. The Company or the applicable Subsidiary has a good and valid leasehold interest, subject to the terms of the Real Property Lease applicable thereto, in each parcel of Leased Real Property, in each case free and clear of all Liens other than Permitted Liens.</w:t>
      </w:r>
    </w:p>
    <w:p>
      <w:pPr>
        <w:spacing w:after="0" w:line="140" w:lineRule="exact"/>
        <w:rPr>
          <w:rFonts w:ascii="Times New Roman" w:cs="Times New Roman" w:eastAsia="Times New Roman" w:hAnsi="Times New Roman"/>
          <w:sz w:val="13"/>
          <w:szCs w:val="13"/>
          <w:color w:val="auto"/>
        </w:rPr>
      </w:pPr>
    </w:p>
    <w:p>
      <w:pPr>
        <w:jc w:val="both"/>
        <w:ind w:left="640" w:right="759" w:firstLine="693"/>
        <w:spacing w:after="0" w:line="255" w:lineRule="auto"/>
        <w:tabs>
          <w:tab w:leader="none" w:pos="1508"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4.18(c)</w:t>
      </w:r>
      <w:r>
        <w:rPr>
          <w:rFonts w:ascii="Times New Roman" w:cs="Times New Roman" w:eastAsia="Times New Roman" w:hAnsi="Times New Roman"/>
          <w:sz w:val="13"/>
          <w:szCs w:val="13"/>
          <w:color w:val="auto"/>
        </w:rPr>
        <w:t xml:space="preserve"> of the Company Disclosure Letter, as of the date of this Agreement, none of the Real Properties is leased or subleased to or otherwise occupied by any Person other than the Company and its Subsidiaries, and no agreement with the Company or its Subsidiaries exists that would give any third party the right to acquire any of the Real Properties.</w:t>
      </w:r>
    </w:p>
    <w:p>
      <w:pPr>
        <w:spacing w:after="0" w:line="130"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15"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material new (or increases in existing) development fees, impact fees or other fees that have been, or to the Knowledge of the Company will be, levied by any Governmental Authority in connection with the development of any Real Property. Neither the Company nor any of its Subsidiaries has received any written, or to the Knowledge of the Company, oral notice of any material violation of any Law or any instruments of record relating to any Real Property.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51" w:lineRule="auto"/>
        <w:tabs>
          <w:tab w:leader="none" w:pos="1508" w:val="left"/>
        </w:tabs>
        <w:numPr>
          <w:ilvl w:val="1"/>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has received any written notice of any condemnation, eminent domain, requisition or taking by any Governmental Authority with respect to any Real Property, or negotiations for the purchase of any Real Property in lieu of condemnation, and, no condemnation, eminent domain, requisition or taking has been commenced, or to the Knowledge of the Company, threatened in connection with any of the foregoing.</w:t>
      </w:r>
    </w:p>
    <w:p>
      <w:pPr>
        <w:spacing w:after="0" w:line="132"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Real Property (i) constitutes all of the real property used in the operation of the business of the Company and its Subsidiaries and</w:t>
      </w:r>
    </w:p>
    <w:p>
      <w:pPr>
        <w:spacing w:after="0" w:line="26" w:lineRule="exact"/>
        <w:rPr>
          <w:rFonts w:ascii="Times New Roman" w:cs="Times New Roman" w:eastAsia="Times New Roman" w:hAnsi="Times New Roman"/>
          <w:sz w:val="12"/>
          <w:szCs w:val="12"/>
          <w:color w:val="auto"/>
        </w:rPr>
      </w:pPr>
    </w:p>
    <w:p>
      <w:pPr>
        <w:ind w:left="640" w:right="739" w:hanging="3"/>
        <w:spacing w:after="0" w:line="245" w:lineRule="auto"/>
        <w:tabs>
          <w:tab w:leader="none" w:pos="82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assuming receipt of any third-party consents required under the terms of any Real Property Lease, is sufficient for Parent to conduct the business of the Company and its Subsidiaries immediately following the Closing in substantially the same manner as conducted by the Company and its Subsidiaries as of the date hereof.</w:t>
      </w:r>
    </w:p>
    <w:p>
      <w:pPr>
        <w:spacing w:after="0" w:line="135"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15" w:val="left"/>
        </w:tabs>
        <w:numPr>
          <w:ilvl w:val="1"/>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4.18(g)</w:t>
      </w:r>
      <w:r>
        <w:rPr>
          <w:rFonts w:ascii="Times New Roman" w:cs="Times New Roman" w:eastAsia="Times New Roman" w:hAnsi="Times New Roman"/>
          <w:sz w:val="13"/>
          <w:szCs w:val="13"/>
          <w:color w:val="auto"/>
        </w:rPr>
        <w:t xml:space="preserve"> of the Company Disclosure Letter, no Person has acted, directly or indirectly, as a broker or in any other advisory capacity in connection with the Real Property which would entitle such Person to any fee or commission from the Company or any of its Subsidiaries in connection with the Real Property which is not paid in full.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0" w:name="page51"/>
    <w:bookmarkEnd w:id="50"/>
    <w:p>
      <w:pPr>
        <w:ind w:left="1520" w:hanging="187"/>
        <w:spacing w:after="0"/>
        <w:tabs>
          <w:tab w:leader="none" w:pos="15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currently in undisturbed possession of each Real Property in all material respects.</w:t>
      </w:r>
    </w:p>
    <w:p>
      <w:pPr>
        <w:spacing w:after="0" w:line="153"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487"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Real Property, including all buildings, fixtures and other improvements thereon, is free from material defects (patent and latent), has been maintained in accordance with applicable Law (other than with respect to de minimis circumstances) and normal industry practice, is in good operating condition and repair (subject to normal wear and tear and considering the age and prior use of the same), and is suitable for the purposes for which it is presently used.</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4.19 </w:t>
      </w:r>
      <w:r>
        <w:rPr>
          <w:rFonts w:ascii="Times New Roman" w:cs="Times New Roman" w:eastAsia="Times New Roman" w:hAnsi="Times New Roman"/>
          <w:sz w:val="13"/>
          <w:szCs w:val="13"/>
          <w:u w:val="single" w:color="auto"/>
          <w:color w:val="auto"/>
        </w:rPr>
        <w:t>Environmental</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4.19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1359" w:firstLine="693"/>
        <w:spacing w:after="0" w:line="309" w:lineRule="auto"/>
        <w:tabs>
          <w:tab w:leader="none" w:pos="1508"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are, and since November 1, 2021, have been, in material compliance with all applicable Environmental Laws, including possessing all material Company Permits applicable to their operations under all Environmental Laws;</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or, to the Knowledge of the Company, threatened Action pursuant to any Environmental Law against the Company or any of its Subsidiaries that would reasonably be expected to result in a material liability to the Company or its Subsidiaries;</w:t>
      </w:r>
    </w:p>
    <w:p>
      <w:pPr>
        <w:spacing w:after="0" w:line="122" w:lineRule="exact"/>
        <w:rPr>
          <w:rFonts w:ascii="Times New Roman" w:cs="Times New Roman" w:eastAsia="Times New Roman" w:hAnsi="Times New Roman"/>
          <w:sz w:val="13"/>
          <w:szCs w:val="13"/>
          <w:color w:val="auto"/>
        </w:rPr>
      </w:pPr>
    </w:p>
    <w:p>
      <w:pPr>
        <w:jc w:val="both"/>
        <w:ind w:left="640" w:right="739" w:firstLine="693"/>
        <w:spacing w:after="0" w:line="251" w:lineRule="auto"/>
        <w:tabs>
          <w:tab w:leader="none" w:pos="150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November 1, 2021 through the date of this Agreement, neither the Company nor any of its Subsidiaries has received any written notice, demand, letter, or claim from any Person, including any Governmental Authority, alleging that the Company or any of its Subsidiaries has been or is in material violation or potentially in material violation of any applicable Environmental Law or otherwise may be materially liable under any applicable Environmental Law;</w:t>
      </w:r>
    </w:p>
    <w:p>
      <w:pPr>
        <w:spacing w:after="0" w:line="132" w:lineRule="exact"/>
        <w:rPr>
          <w:rFonts w:ascii="Times New Roman" w:cs="Times New Roman" w:eastAsia="Times New Roman" w:hAnsi="Times New Roman"/>
          <w:sz w:val="13"/>
          <w:szCs w:val="13"/>
          <w:color w:val="auto"/>
        </w:rPr>
      </w:pPr>
    </w:p>
    <w:p>
      <w:pPr>
        <w:jc w:val="both"/>
        <w:ind w:left="640" w:right="759" w:firstLine="693"/>
        <w:spacing w:after="0" w:line="251" w:lineRule="auto"/>
        <w:tabs>
          <w:tab w:leader="none" w:pos="151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any of its Subsidiaries is a party or subject to any Order relating to material compliance with Environmental Law or the material remediation, removal or cleanup of Hazardous Materials, and neither the Company nor any of its Subsidiaries has entered into any Contract with another Person of which the primary purpose thereof was to assume, undertake or otherwise become subject to any material liability of another Person under any Environmental Law;</w:t>
      </w:r>
    </w:p>
    <w:p>
      <w:pPr>
        <w:spacing w:after="0" w:line="132" w:lineRule="exact"/>
        <w:rPr>
          <w:rFonts w:ascii="Times New Roman" w:cs="Times New Roman" w:eastAsia="Times New Roman" w:hAnsi="Times New Roman"/>
          <w:sz w:val="13"/>
          <w:szCs w:val="13"/>
          <w:color w:val="auto"/>
        </w:rPr>
      </w:pPr>
    </w:p>
    <w:p>
      <w:pPr>
        <w:ind w:left="640" w:right="899" w:firstLine="693"/>
        <w:spacing w:after="0" w:line="249" w:lineRule="auto"/>
        <w:tabs>
          <w:tab w:leader="none" w:pos="1508"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with respect to the Real Property, there have been no material Releases on or underneath any of such real properties that has caused environmental contamination at such real properties that would reasonably be expected to result in a material obligation of the Company or its Subsidiaries to investigate, remediate, remove or cleanup such environmental contamination pursuant to applicable Environmental Law or result in a material liability to the Company and its Subsidiaries pursuant to applicable Environmental Law with respect to investigation, remediation, removal or cleanup conducted by other Persons;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49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neither the Company nor any of its Subsidiaries has been identified by any Governmental Authority as a potentially responsible party under CERCLA or any similar state or foreign Law at any site; and</w:t>
      </w:r>
    </w:p>
    <w:p>
      <w:pPr>
        <w:spacing w:after="0" w:line="122" w:lineRule="exact"/>
        <w:rPr>
          <w:rFonts w:ascii="Times New Roman" w:cs="Times New Roman" w:eastAsia="Times New Roman" w:hAnsi="Times New Roman"/>
          <w:sz w:val="13"/>
          <w:szCs w:val="13"/>
          <w:color w:val="auto"/>
        </w:rPr>
      </w:pPr>
    </w:p>
    <w:p>
      <w:pPr>
        <w:jc w:val="both"/>
        <w:ind w:left="640" w:right="719" w:firstLine="693"/>
        <w:spacing w:after="0" w:line="255" w:lineRule="auto"/>
        <w:tabs>
          <w:tab w:leader="none" w:pos="1515"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prior to the date of this Agreement true and complete copies of any material environmental reports, studies, assessments and other material environmental information prepared since November 1, 2021 in its possession relating to the Company or any of its Subsidiaries and the Real Property.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1" w:name="page52"/>
    <w:bookmarkEnd w:id="51"/>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4.20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of the holders of a majority of the outstanding shares of Company Common Stock in favor of the adoption of this Agreement (the “</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is the only vote or consent of holders of any class or series of capital stock of the Company that is required to authorize this Agreement or to consummate the First Merger and the other transactions contemplated by this Agreement.</w:t>
      </w:r>
    </w:p>
    <w:p>
      <w:pPr>
        <w:spacing w:after="0" w:line="131" w:lineRule="exact"/>
        <w:rPr>
          <w:sz w:val="20"/>
          <w:szCs w:val="20"/>
          <w:color w:val="auto"/>
        </w:rPr>
      </w:pPr>
    </w:p>
    <w:p>
      <w:pPr>
        <w:ind w:left="640" w:right="759" w:firstLine="309"/>
        <w:spacing w:after="0" w:line="280" w:lineRule="auto"/>
        <w:rPr>
          <w:sz w:val="20"/>
          <w:szCs w:val="20"/>
          <w:color w:val="auto"/>
        </w:rPr>
      </w:pPr>
      <w:r>
        <w:rPr>
          <w:rFonts w:ascii="Times New Roman" w:cs="Times New Roman" w:eastAsia="Times New Roman" w:hAnsi="Times New Roman"/>
          <w:sz w:val="12"/>
          <w:szCs w:val="12"/>
          <w:color w:val="auto"/>
        </w:rPr>
        <w:t xml:space="preserve">Section 4.21 </w:t>
      </w:r>
      <w:r>
        <w:rPr>
          <w:rFonts w:ascii="Times New Roman" w:cs="Times New Roman" w:eastAsia="Times New Roman" w:hAnsi="Times New Roman"/>
          <w:sz w:val="12"/>
          <w:szCs w:val="12"/>
          <w:u w:val="single" w:color="auto"/>
          <w:color w:val="auto"/>
        </w:rPr>
        <w:t>Fairness Opinion</w:t>
      </w:r>
      <w:r>
        <w:rPr>
          <w:rFonts w:ascii="Times New Roman" w:cs="Times New Roman" w:eastAsia="Times New Roman" w:hAnsi="Times New Roman"/>
          <w:sz w:val="12"/>
          <w:szCs w:val="12"/>
          <w:color w:val="auto"/>
        </w:rPr>
        <w:t>. The Company Board has received an opinion (the “</w:t>
      </w:r>
      <w:r>
        <w:rPr>
          <w:rFonts w:ascii="Times New Roman" w:cs="Times New Roman" w:eastAsia="Times New Roman" w:hAnsi="Times New Roman"/>
          <w:sz w:val="12"/>
          <w:szCs w:val="12"/>
          <w:b w:val="1"/>
          <w:bCs w:val="1"/>
          <w:color w:val="auto"/>
        </w:rPr>
        <w:t>Fairness Opinion</w:t>
      </w:r>
      <w:r>
        <w:rPr>
          <w:rFonts w:ascii="Times New Roman" w:cs="Times New Roman" w:eastAsia="Times New Roman" w:hAnsi="Times New Roman"/>
          <w:sz w:val="12"/>
          <w:szCs w:val="12"/>
          <w:color w:val="auto"/>
        </w:rPr>
        <w:t>”) from Jefferies LLC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Advisor</w:t>
      </w:r>
      <w:r>
        <w:rPr>
          <w:rFonts w:ascii="Times New Roman" w:cs="Times New Roman" w:eastAsia="Times New Roman" w:hAnsi="Times New Roman"/>
          <w:sz w:val="12"/>
          <w:szCs w:val="12"/>
          <w:color w:val="auto"/>
        </w:rPr>
        <w:t>”) to the effect that, as of the date of such opinion and based upon and subject to the various assumptions, qualifications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limitations set forth therein, the Merger Consideration to be received by the holders of shares of Company Common Stock in the First Merger pursuant to this Agreement is fair, from a financial point of view, to such holders (other than Parent, Merger Sub I, Merger Sub II and their respective affiliates).</w:t>
      </w:r>
    </w:p>
    <w:p>
      <w:pPr>
        <w:spacing w:after="0" w:line="116" w:lineRule="exact"/>
        <w:rPr>
          <w:sz w:val="20"/>
          <w:szCs w:val="20"/>
          <w:color w:val="auto"/>
        </w:rPr>
      </w:pPr>
    </w:p>
    <w:p>
      <w:pPr>
        <w:ind w:left="640" w:right="699" w:firstLine="309"/>
        <w:spacing w:after="0" w:line="275" w:lineRule="auto"/>
        <w:rPr>
          <w:sz w:val="20"/>
          <w:szCs w:val="20"/>
          <w:color w:val="auto"/>
        </w:rPr>
      </w:pPr>
      <w:r>
        <w:rPr>
          <w:rFonts w:ascii="Times New Roman" w:cs="Times New Roman" w:eastAsia="Times New Roman" w:hAnsi="Times New Roman"/>
          <w:sz w:val="12"/>
          <w:szCs w:val="12"/>
          <w:color w:val="auto"/>
        </w:rPr>
        <w:t xml:space="preserve">Section 4.22 </w:t>
      </w:r>
      <w:r>
        <w:rPr>
          <w:rFonts w:ascii="Times New Roman" w:cs="Times New Roman" w:eastAsia="Times New Roman" w:hAnsi="Times New Roman"/>
          <w:sz w:val="12"/>
          <w:szCs w:val="12"/>
          <w:u w:val="single" w:color="auto"/>
          <w:color w:val="auto"/>
        </w:rPr>
        <w:t>Brokers</w:t>
      </w:r>
      <w:r>
        <w:rPr>
          <w:rFonts w:ascii="Times New Roman" w:cs="Times New Roman" w:eastAsia="Times New Roman" w:hAnsi="Times New Roman"/>
          <w:sz w:val="12"/>
          <w:szCs w:val="12"/>
          <w:color w:val="auto"/>
        </w:rPr>
        <w:t xml:space="preserve">. Except for those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 no broker, finder, financial advisor, investment banker, consultant or intermediary is entitled to any investment banking, brokerage, finder’s, advisory or similar fee or commission in connection with the First Merger or any of the other transactions contemplated by this Agreement based upon arrangements made by or on behalf of the Company or any of its Subsidiaries. The Company has made available to Parent true and complete redacted copies of all Contracts with respect to the engagement of Company Financial Advisor and the other Persons set forth in </w:t>
      </w:r>
      <w:r>
        <w:rPr>
          <w:rFonts w:ascii="Times New Roman" w:cs="Times New Roman" w:eastAsia="Times New Roman" w:hAnsi="Times New Roman"/>
          <w:sz w:val="12"/>
          <w:szCs w:val="12"/>
          <w:u w:val="single" w:color="auto"/>
          <w:color w:val="auto"/>
        </w:rPr>
        <w:t>Section 4.22</w:t>
      </w:r>
      <w:r>
        <w:rPr>
          <w:rFonts w:ascii="Times New Roman" w:cs="Times New Roman" w:eastAsia="Times New Roman" w:hAnsi="Times New Roman"/>
          <w:sz w:val="12"/>
          <w:szCs w:val="12"/>
          <w:color w:val="auto"/>
        </w:rPr>
        <w:t xml:space="preserve"> of the Company Disclosure Letter.</w:t>
      </w:r>
    </w:p>
    <w:p>
      <w:pPr>
        <w:spacing w:after="0" w:line="119" w:lineRule="exact"/>
        <w:rPr>
          <w:sz w:val="20"/>
          <w:szCs w:val="20"/>
          <w:color w:val="auto"/>
        </w:rPr>
      </w:pPr>
    </w:p>
    <w:p>
      <w:pPr>
        <w:ind w:left="640" w:right="69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4.23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4.23</w:t>
      </w:r>
      <w:r>
        <w:rPr>
          <w:rFonts w:ascii="Times New Roman" w:cs="Times New Roman" w:eastAsia="Times New Roman" w:hAnsi="Times New Roman"/>
          <w:sz w:val="12"/>
          <w:szCs w:val="12"/>
          <w:color w:val="auto"/>
        </w:rPr>
        <w:t xml:space="preserve"> of the Company Disclosure Letter contains a true and complete list of all currently effective material insurance policies issued in favor of the Company or any of its Subsidiaries, and the Company has made available to Parent a true and complete copy of all such policies. Except as would not, individually or in the aggregate, reasonably be expected to have a Company Material Adverse Effect, as of the date of this Agreement, (a) each such insurance policy is in full force and effect and all premiums due thereon have been paid in full and (b) neither the Company nor any of its Subsidiaries is in breach or default, and neither the Company nor any of its Subsidiaries has taken any action or failed to take any action which, with notice or the lapse of time or both, would constitute such a breach or default, or permit termination or modification of, any such policy, (c) to the Knowledge of the Company, no insurer on any such policy has been declared insolvent or placed in receivership, conservatorship or liquidation, and (d) no notice of cancellation, default, non-renewal or termination has been received with respect to any such policy. Such insurance policies are sufficient in all material respects for compliance by the Company and its Subsidiaries with (i) all requirements of applicable Laws and</w:t>
      </w:r>
    </w:p>
    <w:p>
      <w:pPr>
        <w:spacing w:after="0" w:line="1" w:lineRule="exact"/>
        <w:rPr>
          <w:sz w:val="20"/>
          <w:szCs w:val="20"/>
          <w:color w:val="auto"/>
        </w:rPr>
      </w:pPr>
    </w:p>
    <w:p>
      <w:pPr>
        <w:ind w:left="640" w:right="699" w:hanging="3"/>
        <w:spacing w:after="0" w:line="244" w:lineRule="auto"/>
        <w:tabs>
          <w:tab w:leader="none" w:pos="826"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Company Material Contracts. All material fire and casualty, general liability, business interruption, product liability, and sprinkler and water damage insurance policies maintained by or on behalf of the Company or any of its Subsidiaries provide adequate coverage for all normal risks incident to the business of the Company and its Subsidiaries and their respective properties and assets, except for any such failures to maintain such policies that have not had or would not, individually or in the aggregate, reasonably be expected to have a Company Material Adverse Effect. As of the date hereof, there are no pending or, to the Knowledge of the Company, threatened material claims under any insurance policy.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30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4.24 </w:t>
      </w:r>
      <w:r>
        <w:rPr>
          <w:rFonts w:ascii="Times New Roman" w:cs="Times New Roman" w:eastAsia="Times New Roman" w:hAnsi="Times New Roman"/>
          <w:sz w:val="12"/>
          <w:szCs w:val="12"/>
          <w:u w:val="single" w:color="auto"/>
          <w:color w:val="auto"/>
        </w:rPr>
        <w:t>Takeover Statutes</w:t>
      </w:r>
      <w:r>
        <w:rPr>
          <w:rFonts w:ascii="Times New Roman" w:cs="Times New Roman" w:eastAsia="Times New Roman" w:hAnsi="Times New Roman"/>
          <w:sz w:val="12"/>
          <w:szCs w:val="12"/>
          <w:color w:val="auto"/>
        </w:rPr>
        <w:t>. The Company has taken all action reasonably necessary to exempt the First Merger and the other transactions contemplated hereby from any “fair price,” “moratorium,” “control share acquisition,” “business combination” or any other takeover or anti-takeover statute or similar federal or state Law applicable to the First Merger. No similar anti-takeover provision in the Company Charter or the Company Bylaws is, or at the First Effective Time will be, applicable to this Agreement, the First Merger or any of the transactions contemplated hereby. There is no stockholder rights plan, “poison pill” anti-takeover plan or other similar device in effect to which the Company is a party or is otherwise bound.</w:t>
      </w:r>
    </w:p>
    <w:p>
      <w:pPr>
        <w:spacing w:after="0" w:line="119"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4.25 </w:t>
      </w:r>
      <w:r>
        <w:rPr>
          <w:rFonts w:ascii="Times New Roman" w:cs="Times New Roman" w:eastAsia="Times New Roman" w:hAnsi="Times New Roman"/>
          <w:sz w:val="13"/>
          <w:szCs w:val="13"/>
          <w:u w:val="single" w:color="auto"/>
          <w:color w:val="auto"/>
        </w:rPr>
        <w:t>Affiliate Transactions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4.25</w:t>
      </w:r>
      <w:r>
        <w:rPr>
          <w:rFonts w:ascii="Times New Roman" w:cs="Times New Roman" w:eastAsia="Times New Roman" w:hAnsi="Times New Roman"/>
          <w:sz w:val="13"/>
          <w:szCs w:val="13"/>
          <w:color w:val="auto"/>
        </w:rPr>
        <w:t xml:space="preserve"> of the Company Disclosure Letter, no current director, officer or Affiliate of the Company or any of its Subsidiaries (a) has outstanding any indebtedness to the Company or any of its Subsidiaries, or (b) is otherwise a party to, or directly or indirectly benefits from, any Contract with the Company or any of its Subsidiaries (other than a Company Benefit Plan) of a type that would be required to be disclosed under Item 404 of Regulation S-K under the Securities Act.</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4.26 </w:t>
      </w:r>
      <w:r>
        <w:rPr>
          <w:rFonts w:ascii="Times New Roman" w:cs="Times New Roman" w:eastAsia="Times New Roman" w:hAnsi="Times New Roman"/>
          <w:sz w:val="13"/>
          <w:szCs w:val="13"/>
          <w:u w:val="single" w:color="auto"/>
          <w:color w:val="auto"/>
        </w:rPr>
        <w:t>Anti-Bribery; Anti-Money Laundering; Sanctions</w:t>
      </w:r>
      <w:r>
        <w:rPr>
          <w:rFonts w:ascii="Times New Roman" w:cs="Times New Roman" w:eastAsia="Times New Roman" w:hAnsi="Times New Roman"/>
          <w:sz w:val="13"/>
          <w:szCs w:val="13"/>
          <w:color w:val="auto"/>
        </w:rPr>
        <w:t xml:space="preserve">. Except for as set forth in </w:t>
      </w:r>
      <w:r>
        <w:rPr>
          <w:rFonts w:ascii="Times New Roman" w:cs="Times New Roman" w:eastAsia="Times New Roman" w:hAnsi="Times New Roman"/>
          <w:sz w:val="13"/>
          <w:szCs w:val="13"/>
          <w:u w:val="single" w:color="auto"/>
          <w:color w:val="auto"/>
        </w:rPr>
        <w:t>Section 4.26</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59" w:firstLine="693"/>
        <w:spacing w:after="0" w:line="265" w:lineRule="auto"/>
        <w:tabs>
          <w:tab w:leader="none" w:pos="1508" w:val="left"/>
        </w:tabs>
        <w:numPr>
          <w:ilvl w:val="1"/>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Subsidiary, nor any director, officer, or employee, nor, to the Knowledge of the Company, any other Representative acting on behalf of the Company or any of its Subsidiaries, has directly or indirectly violated any law, rule or regulation relating to bribery or corruption, including but not limited to: (a) the U.S. Foreign Corrupt Practices Act of 1977, as amended (“</w:t>
      </w:r>
      <w:r>
        <w:rPr>
          <w:rFonts w:ascii="Times New Roman" w:cs="Times New Roman" w:eastAsia="Times New Roman" w:hAnsi="Times New Roman"/>
          <w:sz w:val="12"/>
          <w:szCs w:val="12"/>
          <w:b w:val="1"/>
          <w:bCs w:val="1"/>
          <w:color w:val="auto"/>
        </w:rPr>
        <w:t>FCPA</w:t>
      </w:r>
      <w:r>
        <w:rPr>
          <w:rFonts w:ascii="Times New Roman" w:cs="Times New Roman" w:eastAsia="Times New Roman" w:hAnsi="Times New Roman"/>
          <w:sz w:val="12"/>
          <w:szCs w:val="12"/>
          <w:color w:val="auto"/>
        </w:rPr>
        <w:t>”); (b) the UK Bribery Act 2010; (c) Mexican anti-corruption Laws including, but not limited to, the General Administrative Liabilities Law, the General Law of the National Anti-Corruption System, the Organic Law of the Federal Tribunal of Administrative Justice, the Law for Federal Auditing and Accountability, the Federal Criminal Code, the Organic Law of the Federal Public Administration, and the Organic Law of the Attorney General and the Criminal Codes of the States of Mexico and Mexico City; or (d) any other applicable anti-corruption or anti-bribery Laws (collectively, the “</w:t>
      </w:r>
      <w:r>
        <w:rPr>
          <w:rFonts w:ascii="Times New Roman" w:cs="Times New Roman" w:eastAsia="Times New Roman" w:hAnsi="Times New Roman"/>
          <w:sz w:val="12"/>
          <w:szCs w:val="12"/>
          <w:b w:val="1"/>
          <w:bCs w:val="1"/>
          <w:color w:val="auto"/>
        </w:rPr>
        <w:t>Anti-Bribery Laws</w:t>
      </w:r>
      <w:r>
        <w:rPr>
          <w:rFonts w:ascii="Times New Roman" w:cs="Times New Roman" w:eastAsia="Times New Roman" w:hAnsi="Times New Roman"/>
          <w:sz w:val="12"/>
          <w:szCs w:val="12"/>
          <w:color w:val="auto"/>
        </w:rPr>
        <w:t>”), nor has the Company, any Subsidiary, any director, officer, or employee, or, to the Knowledge of the Company, any Representative corruptly offered, paid, promised to pay, authorized, solicited, or received in violation of applicable Law the payment of money or anything of value, directly or indirectly, to or from any Person, including any Government Official: (a) to influence any official act or decision of a Government Official; (b) to induce a Government Official to do or omit to do any act in violation of a lawful duty; (c) to induce a Government Official to influence the act or decision of a Governmental Authority;</w:t>
      </w:r>
    </w:p>
    <w:p>
      <w:pPr>
        <w:spacing w:after="0" w:line="4"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19"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any improper business advantage; (e) to obtain or retain business in any way related to the Company or any of its Subsidiaries; or (f) that would otherwise constitute a bribe, kickback, or other improper or illegal payment or benefit.</w:t>
      </w:r>
    </w:p>
    <w:p>
      <w:pPr>
        <w:spacing w:after="0" w:line="135" w:lineRule="exact"/>
        <w:rPr>
          <w:rFonts w:ascii="Times New Roman" w:cs="Times New Roman" w:eastAsia="Times New Roman" w:hAnsi="Times New Roman"/>
          <w:sz w:val="13"/>
          <w:szCs w:val="13"/>
          <w:color w:val="auto"/>
        </w:rPr>
      </w:pPr>
    </w:p>
    <w:p>
      <w:pPr>
        <w:ind w:left="640" w:right="859" w:firstLine="693"/>
        <w:spacing w:after="0" w:line="255" w:lineRule="auto"/>
        <w:tabs>
          <w:tab w:leader="none" w:pos="1515"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all times, the Company and its Subsidiaries have made and maintained books, records, and accounts, which accurately and fairly reflect the transactions and disposition of the assets of the Company and do not have any falsified books and records or maintain any off-the-books transactions or slush funds. At all times, the Company and its Subsidiaries have devised,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3" w:name="page54"/>
    <w:bookmarkEnd w:id="53"/>
    <w:p>
      <w:pPr>
        <w:ind w:left="640" w:right="69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maintained, and enforced internal controls and procedures designed to ensure compliance by the Company, its Subsidiaries, its directors, officers, and employees, and Representatives with the Anti-Bribery Laws. The Company has provided anti-corruption training and guidance to all relevant directors, officers, employees, and Representatives, and has informed these directors, officers, employees, and Representatives of their obligations under the Anti-Bribery Laws.</w:t>
      </w:r>
    </w:p>
    <w:p>
      <w:pPr>
        <w:spacing w:after="0" w:line="133" w:lineRule="exact"/>
        <w:rPr>
          <w:sz w:val="20"/>
          <w:szCs w:val="20"/>
          <w:color w:val="auto"/>
        </w:rPr>
      </w:pPr>
    </w:p>
    <w:p>
      <w:pPr>
        <w:ind w:left="640" w:right="739" w:firstLine="693"/>
        <w:spacing w:after="0" w:line="247" w:lineRule="auto"/>
        <w:tabs>
          <w:tab w:leader="none" w:pos="1508"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internal investigations or, to the Knowledge of the Company, prior, pending, threatened or suspected governmental or other regulatory investigations or proceedings, whistleblower reports or allegations, relating in any way, in each case, regarding any action or any allegation of any action in any way related to the Anti-Bribery Laws, inaccurate or misleading books and records, insufficient corporate or internal controls, insufficient or lack of compliance policies and procedures. To the Knowledge of the Company, none of the directors, officers, employees or Representatives of the Company or any of its Subsidiaries is a government official, political party official or candidate for political office, and there are no known familial relationships between any of the Company’s directors, officers, employees or Representatives, on the one hand, and any government official, political party official or candidate for political office, on the other hand.</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operations of the Company and its Subsidiaries are, and since November 1, 2021 have been, conducted in material compliance with applicable financial recordkeeping, reporting and internal control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2"/>
          <w:szCs w:val="12"/>
          <w:b w:val="1"/>
          <w:bCs w:val="1"/>
          <w:color w:val="auto"/>
        </w:rPr>
        <w:t>Money Laundering Laws</w:t>
      </w:r>
      <w:r>
        <w:rPr>
          <w:rFonts w:ascii="Times New Roman" w:cs="Times New Roman" w:eastAsia="Times New Roman" w:hAnsi="Times New Roman"/>
          <w:sz w:val="12"/>
          <w:szCs w:val="12"/>
          <w:color w:val="auto"/>
        </w:rPr>
        <w:t>”). No material action, claim, suit or proceeding by or before any Governmental Authority involving the Company or any of its Subsidiaries with respect to the Money Laundering Laws is pending or, to the Knowledge of the Company, threatened, nor, to the Knowledge of the Company, is any investigation by or before any Governmental Authority involving the Company or any of its Subsidiaries with respect to the Money Laundering Laws pending or threatened.</w:t>
      </w:r>
    </w:p>
    <w:p>
      <w:pPr>
        <w:spacing w:after="0" w:line="122"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08"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have, since April 24, 2019, been in compliance with applicable Sanctions and with applicable Trade Controls Laws and have maintained policies and procedures designed to promote compliance with Sanctions and Trade Control Laws. Neither the Company, its Subsidiaries, nor, any director, officer, employee, or to the Knowledge of the Company, agent thereof, (a) is or has been since April 24, 2019, a Sanctioned Person, subject to any list-based designations under Trade Control Laws, or engaged in a transaction or dealing, directly or indirectly, with or involving a Sanctioned Person, a Sanctioned Country, or goods grown, produced, manufactured, extracted, or processed in a Sanctioned Country; or (b) is engaged in transactions, dealings, or activities that might reasonably be expected to cause such Person to become a Sanctioned Person or subject to any list-based designations under Trade Control Laws. As of the date hereof, to the Knowledge of the Company, there is no current investigation, review, audit, allegation, request for information, or other inquiry by any Governmental Authority regarding the actual or possible violation of Sanctions or Trade Controls Laws by the Company and its Subsidiaries, and since April 24, 2019, the Company and its Subsidiaries have not been the subject of or otherwise involved in, or received notice of any actual, pending, or threatened investigation, review, audit, allegation, request for information, or other inquiry by any Governmental Authority regarding an actual or possible violation of Sanctions or Trade Control Laws.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4" w:name="page55"/>
    <w:bookmarkEnd w:id="54"/>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4.27 </w:t>
      </w:r>
      <w:r>
        <w:rPr>
          <w:rFonts w:ascii="Times New Roman" w:cs="Times New Roman" w:eastAsia="Times New Roman" w:hAnsi="Times New Roman"/>
          <w:sz w:val="13"/>
          <w:szCs w:val="13"/>
          <w:u w:val="single" w:color="auto"/>
          <w:color w:val="auto"/>
        </w:rPr>
        <w:t>Ownership of Parent Shares</w:t>
      </w:r>
      <w:r>
        <w:rPr>
          <w:rFonts w:ascii="Times New Roman" w:cs="Times New Roman" w:eastAsia="Times New Roman" w:hAnsi="Times New Roman"/>
          <w:sz w:val="13"/>
          <w:szCs w:val="13"/>
          <w:color w:val="auto"/>
        </w:rPr>
        <w:t>. The Company does not own (beneficially or otherwise) any Parent Shares or other Equity Interests in Parent or any options, warrants or other rights to acquire Parent Shares or other Equity Interests in Parent (or any other economic interest through derivative securities or otherwise in Parent).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4.28 </w:t>
      </w:r>
      <w:r>
        <w:rPr>
          <w:rFonts w:ascii="Times New Roman" w:cs="Times New Roman" w:eastAsia="Times New Roman" w:hAnsi="Times New Roman"/>
          <w:sz w:val="13"/>
          <w:szCs w:val="13"/>
          <w:u w:val="single" w:color="auto"/>
          <w:color w:val="auto"/>
        </w:rPr>
        <w:t>Material Customers and Suppliers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at no time since November 1, 2021 has the Company or any of its Subsidiaries (i) been in any material dispute with any of its Material Customers or Material Suppliers, or (ii) to the Knowledge of the Company, received any written notice from any Material Customer or Material Supplier to the effect that such Material Customer or Material Supplier has suspended, terminated or materially reduced or amended, or intends to suspend, terminate or materially reduce or amend, its relationship with the Company or any of its Subsidiaries. Except as set forth in </w:t>
      </w:r>
      <w:r>
        <w:rPr>
          <w:rFonts w:ascii="Times New Roman" w:cs="Times New Roman" w:eastAsia="Times New Roman" w:hAnsi="Times New Roman"/>
          <w:sz w:val="13"/>
          <w:szCs w:val="13"/>
          <w:u w:val="single" w:color="auto"/>
          <w:color w:val="auto"/>
        </w:rPr>
        <w:t>Section 4.28</w:t>
      </w:r>
      <w:r>
        <w:rPr>
          <w:rFonts w:ascii="Times New Roman" w:cs="Times New Roman" w:eastAsia="Times New Roman" w:hAnsi="Times New Roman"/>
          <w:sz w:val="13"/>
          <w:szCs w:val="13"/>
          <w:color w:val="auto"/>
        </w:rPr>
        <w:t xml:space="preserve"> of the Company Disclosure Letter, no Material Customer or Material Supplier has terminated, cancelled or failed to renew, or given the Company or any of its Subsidiaries written or, to the Knowledge of the Company, oral notice of its intention to terminate, cancel, or fail to renew, its business relationship with the Company or any of its Subsidiaries. Neither the Company nor any of its Subsidiaries is a party, and in the last three (3) years has not been a party, to any material Action with any of the Material Customers or Material Suppliers, and, as of the date hereof, to the Knowledge of the Company, there exists no facts or circumstances that would result in any such material Action, being initiated.</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4.29 </w:t>
      </w:r>
      <w:r>
        <w:rPr>
          <w:rFonts w:ascii="Times New Roman" w:cs="Times New Roman" w:eastAsia="Times New Roman" w:hAnsi="Times New Roman"/>
          <w:sz w:val="13"/>
          <w:szCs w:val="13"/>
          <w:u w:val="single" w:color="auto"/>
          <w:color w:val="auto"/>
        </w:rPr>
        <w:t>Company Product Matters; Food Safety; Recalls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4.29</w:t>
      </w:r>
      <w:r>
        <w:rPr>
          <w:rFonts w:ascii="Times New Roman" w:cs="Times New Roman" w:eastAsia="Times New Roman" w:hAnsi="Times New Roman"/>
          <w:sz w:val="13"/>
          <w:szCs w:val="13"/>
          <w:color w:val="auto"/>
        </w:rPr>
        <w:t xml:space="preserve"> of the Company Disclosure Letter:</w:t>
      </w:r>
    </w:p>
    <w:p>
      <w:pPr>
        <w:spacing w:after="0" w:line="154" w:lineRule="exact"/>
        <w:rPr>
          <w:sz w:val="20"/>
          <w:szCs w:val="20"/>
          <w:color w:val="auto"/>
        </w:rPr>
      </w:pPr>
    </w:p>
    <w:p>
      <w:pPr>
        <w:ind w:left="640" w:right="679" w:firstLine="693"/>
        <w:spacing w:after="0" w:line="247" w:lineRule="auto"/>
        <w:tabs>
          <w:tab w:leader="none" w:pos="1508"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the Company and each Company Product that is subject to the jurisdiction of the U.S. Food and Drug Administration, the U.S. Department of Agriculture, the </w:t>
      </w:r>
      <w:r>
        <w:rPr>
          <w:rFonts w:ascii="Times New Roman" w:cs="Times New Roman" w:eastAsia="Times New Roman" w:hAnsi="Times New Roman"/>
          <w:sz w:val="13"/>
          <w:szCs w:val="13"/>
          <w:i w:val="1"/>
          <w:iCs w:val="1"/>
          <w:color w:val="auto"/>
        </w:rPr>
        <w:t>Comisión Federal para la Protección contra Riesgos Sanitarios</w:t>
      </w:r>
      <w:r>
        <w:rPr>
          <w:rFonts w:ascii="Times New Roman" w:cs="Times New Roman" w:eastAsia="Times New Roman" w:hAnsi="Times New Roman"/>
          <w:sz w:val="13"/>
          <w:szCs w:val="13"/>
          <w:color w:val="auto"/>
        </w:rPr>
        <w:t xml:space="preserve">, or the </w:t>
      </w:r>
      <w:r>
        <w:rPr>
          <w:rFonts w:ascii="Times New Roman" w:cs="Times New Roman" w:eastAsia="Times New Roman" w:hAnsi="Times New Roman"/>
          <w:sz w:val="13"/>
          <w:szCs w:val="13"/>
          <w:i w:val="1"/>
          <w:iCs w:val="1"/>
          <w:color w:val="auto"/>
        </w:rPr>
        <w:t>Servicio Nacional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Sanidad, Inocuidad y Calidad Agroalimentaria</w:t>
      </w:r>
      <w:r>
        <w:rPr>
          <w:rFonts w:ascii="Times New Roman" w:cs="Times New Roman" w:eastAsia="Times New Roman" w:hAnsi="Times New Roman"/>
          <w:sz w:val="13"/>
          <w:szCs w:val="13"/>
          <w:color w:val="auto"/>
        </w:rPr>
        <w:t>, or any comparable Governmental Authority, and any components, ingredients or packaging therefor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materially complied with all applicable product labeling, notice, registration, listing and other regulatory requirements, and with all quality control, food safety, product integrity, facility certification and similar applicable standards, whether contractual, statutory, regulatory or imposed by Company policies or any third-party certifying body at the time each such Company Product was sold by the Company and within its possession, custody and control.</w:t>
      </w:r>
    </w:p>
    <w:p>
      <w:pPr>
        <w:spacing w:after="0" w:line="136" w:lineRule="exact"/>
        <w:rPr>
          <w:rFonts w:ascii="Times New Roman" w:cs="Times New Roman" w:eastAsia="Times New Roman" w:hAnsi="Times New Roman"/>
          <w:sz w:val="13"/>
          <w:szCs w:val="13"/>
          <w:color w:val="auto"/>
        </w:rPr>
      </w:pPr>
    </w:p>
    <w:p>
      <w:pPr>
        <w:ind w:left="640" w:right="799" w:firstLine="693"/>
        <w:spacing w:after="0" w:line="248" w:lineRule="auto"/>
        <w:tabs>
          <w:tab w:leader="none" w:pos="1515"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Since November 1, 2022, all Company Products sold by the Company and within its possession, custody and control: (i) have been properly produced, processed, manufactured, handled, stored, packaged and labeled and are fit for human consumption; (ii) are of good and merchantable quality and condition; (iii) materially comply with the U.S. Federal Food, Drug and Cosmetic Act of 1938, the </w:t>
      </w:r>
      <w:r>
        <w:rPr>
          <w:rFonts w:ascii="Times New Roman" w:cs="Times New Roman" w:eastAsia="Times New Roman" w:hAnsi="Times New Roman"/>
          <w:sz w:val="13"/>
          <w:szCs w:val="13"/>
          <w:i w:val="1"/>
          <w:iCs w:val="1"/>
          <w:color w:val="auto"/>
        </w:rPr>
        <w:t>Ley Federal de Sanidad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Vegetal, the Ley General de Salud</w:t>
      </w:r>
      <w:r>
        <w:rPr>
          <w:rFonts w:ascii="Times New Roman" w:cs="Times New Roman" w:eastAsia="Times New Roman" w:hAnsi="Times New Roman"/>
          <w:sz w:val="13"/>
          <w:szCs w:val="13"/>
          <w:color w:val="auto"/>
        </w:rPr>
        <w:t>, and all other applicable Laws governing the purity, storage, quality, manufacturing, packaging, labeling, marketing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and/or advertising of food sold for human consumption, as in effect as of the date hereof (including the Food Safety Modernization Act, the Food Allergen Labeling and Consumer Protection Act of 2004, the Nutrition Labeling and Education Act of 1990,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5" w:name="page56"/>
    <w:bookmarkEnd w:id="55"/>
    <w:p>
      <w:pPr>
        <w:ind w:left="640" w:right="71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Organic Foods Production Act, the Perishable Agricultural Commodities Act, the Food Quality Protection Act, the </w:t>
      </w:r>
      <w:r>
        <w:rPr>
          <w:rFonts w:ascii="Times New Roman" w:cs="Times New Roman" w:eastAsia="Times New Roman" w:hAnsi="Times New Roman"/>
          <w:sz w:val="13"/>
          <w:szCs w:val="13"/>
          <w:i w:val="1"/>
          <w:iCs w:val="1"/>
          <w:color w:val="auto"/>
        </w:rPr>
        <w:t>Reglamento de la Ley general de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Salud en Materia de Control Sanitario de Establecimientos, Productos y Servicios</w:t>
      </w:r>
      <w:r>
        <w:rPr>
          <w:rFonts w:ascii="Times New Roman" w:cs="Times New Roman" w:eastAsia="Times New Roman" w:hAnsi="Times New Roman"/>
          <w:sz w:val="13"/>
          <w:szCs w:val="13"/>
          <w:color w:val="auto"/>
        </w:rPr>
        <w:t>, and all comparable and applicable state or local Laws and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implementing regulations, and all applicable Laws imposed or administered by any Governmental Authority (collectively, “</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(iv) were shipped in interstate commerce in material accordance with the Food Laws; and (v) were in conformity with all express and implied warranties. The Company and each of its Subsidiaries and, to the Knowledge of the Company, the suppliers and subcontractors of the Company and any of its Subsidiaries are, and since November 1, 2022, have been, materially compliant with all applicable Laws, including Food Laws, and are not in breach of quality control, food safety, product integrity, facility certification or any similar obligations imposed in Contracts with third parties for the supply of Company Products.</w:t>
      </w:r>
    </w:p>
    <w:p>
      <w:pPr>
        <w:spacing w:after="0" w:line="136" w:lineRule="exact"/>
        <w:rPr>
          <w:sz w:val="20"/>
          <w:szCs w:val="20"/>
          <w:color w:val="auto"/>
        </w:rPr>
      </w:pPr>
    </w:p>
    <w:p>
      <w:pPr>
        <w:ind w:left="640" w:right="679" w:firstLine="693"/>
        <w:spacing w:after="0" w:line="248" w:lineRule="auto"/>
        <w:tabs>
          <w:tab w:leader="none" w:pos="1508"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made available to Parent the standard terms and conditions of sale for Company Products (including applicable guaranty, warranty and indemnity provisions). No Company Product is subject to any guaranty, warranty or other indemnity beyond such standard terms and conditions of sale, other than implied warranties. Since November 1, 2022, no Company Product has been adulterated, misbranded or labeled in a manner contrary to applicable Law or that is, or would reasonably be expected to be, false or misleading. Since November 1, 2022, each Company Product represented as “natural” or “all natural” does not contain any added synthetic colors, artificial flavors, synthetic substances or GMOs, and each Company Product represented as not containing GMOs does not contain GMOs.</w:t>
      </w:r>
    </w:p>
    <w:p>
      <w:pPr>
        <w:spacing w:after="0" w:line="134" w:lineRule="exact"/>
        <w:rPr>
          <w:rFonts w:ascii="Times New Roman" w:cs="Times New Roman" w:eastAsia="Times New Roman" w:hAnsi="Times New Roman"/>
          <w:sz w:val="13"/>
          <w:szCs w:val="13"/>
          <w:color w:val="auto"/>
        </w:rPr>
      </w:pPr>
    </w:p>
    <w:p>
      <w:pPr>
        <w:ind w:left="640" w:right="679" w:firstLine="693"/>
        <w:spacing w:after="0" w:line="268" w:lineRule="auto"/>
        <w:tabs>
          <w:tab w:leader="none" w:pos="151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would not reasonably be expected to be material to the Company and its Subsidiaries, taken as a whole, and except as set forth in </w:t>
      </w:r>
      <w:r>
        <w:rPr>
          <w:rFonts w:ascii="Times New Roman" w:cs="Times New Roman" w:eastAsia="Times New Roman" w:hAnsi="Times New Roman"/>
          <w:sz w:val="12"/>
          <w:szCs w:val="12"/>
          <w:u w:val="single" w:color="auto"/>
          <w:color w:val="auto"/>
        </w:rPr>
        <w:t>Section 4.29</w:t>
      </w:r>
      <w:r>
        <w:rPr>
          <w:rFonts w:ascii="Times New Roman" w:cs="Times New Roman" w:eastAsia="Times New Roman" w:hAnsi="Times New Roman"/>
          <w:sz w:val="12"/>
          <w:szCs w:val="12"/>
          <w:color w:val="auto"/>
        </w:rPr>
        <w:t xml:space="preserve"> of the Company Disclosure Letter, since November 1, 2022: (i) no Company Product has been the subject of any voluntary market withdrawal or any mandatory recall, public notification, or notification to any Governmental Authority, or any similar action; (ii) to the Knowledge of the Company, no customer or subsequent purchaser of any Company Product has asserted a material claim with respect to any nonconformity of any such Company Product with applicable specifications, warranties, labeling requirements, regulatory requirements, quality control or similar standards, whether contractual, statutory, regulatory or imposed by Company policies; and (iii) the Company has not received any FDA warning letter, notice of inspectional observations (Form 483) or similar written notice from any Governmental Authority alleging material non-compliance with Food Laws that remains unresolved. To the Knowledge of the Company, there is no reason to believe that a basis for a recall or market withdrawal of any Company Products may be required under applicable Laws or any policy applicable to the Company or any of its Subsidiaries and, to the Knowledge of the Company, no recall has been threatened by any Governmental Authority or is being considered by the Company or any of its Subsidiaries.</w:t>
      </w:r>
    </w:p>
    <w:p>
      <w:pPr>
        <w:spacing w:after="0" w:line="127" w:lineRule="exact"/>
        <w:rPr>
          <w:sz w:val="20"/>
          <w:szCs w:val="20"/>
          <w:color w:val="auto"/>
        </w:rPr>
      </w:pPr>
    </w:p>
    <w:p>
      <w:pPr>
        <w:ind w:left="640" w:right="7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4.30 </w:t>
      </w:r>
      <w:r>
        <w:rPr>
          <w:rFonts w:ascii="Times New Roman" w:cs="Times New Roman" w:eastAsia="Times New Roman" w:hAnsi="Times New Roman"/>
          <w:sz w:val="13"/>
          <w:szCs w:val="13"/>
          <w:u w:val="single" w:color="auto"/>
          <w:color w:val="auto"/>
        </w:rPr>
        <w:t>Inventory</w:t>
      </w:r>
      <w:r>
        <w:rPr>
          <w:rFonts w:ascii="Times New Roman" w:cs="Times New Roman" w:eastAsia="Times New Roman" w:hAnsi="Times New Roman"/>
          <w:sz w:val="13"/>
          <w:szCs w:val="13"/>
          <w:color w:val="auto"/>
        </w:rPr>
        <w:t>. Each item of Inventory of the Company and its Subsidiaries was acquired in the ordinary course of business consistent with past practice. To the Knowledge of the Company, each item included in Inventory (i) is of a quality, quantity and condition usable and saleable in the ordinary course of business consistent with past practice and is fit for its intended use, (ii) is not slow moving, damaged, discontinued, stale or obsolete, and (iii) has been valued on the books and records of the Company and its Subsidiaries at the lower of cost or market value, in each case except for de minimis amounts. The quantities of each category of such Inventory (raw</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29" w:right="1440" w:bottom="1440" w:gutter="0" w:footer="0" w:header="0"/>
        </w:sectPr>
      </w:pPr>
    </w:p>
    <w:bookmarkStart w:id="56" w:name="page57"/>
    <w:bookmarkEnd w:id="56"/>
    <w:p>
      <w:pPr>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materials, work-in-process and finished goods) are at levels normal and adequate for the continuation of the business of the Company and its Subsidiaries in the ordinary course consistent with past practice. Neither the Company nor any of its Subsidiaries is in possession of any Inventory not owned by the Company or such Subsidiary (including goods already sold), and none of such Inventory has been consigned to any Person.</w:t>
      </w:r>
    </w:p>
    <w:p>
      <w:pPr>
        <w:spacing w:after="0" w:line="11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4.31 </w:t>
      </w:r>
      <w:r>
        <w:rPr>
          <w:rFonts w:ascii="Times New Roman" w:cs="Times New Roman" w:eastAsia="Times New Roman" w:hAnsi="Times New Roman"/>
          <w:sz w:val="13"/>
          <w:szCs w:val="13"/>
          <w:u w:val="single" w:color="auto"/>
          <w:color w:val="auto"/>
        </w:rPr>
        <w:t>Accounts Receivable</w:t>
      </w:r>
      <w:r>
        <w:rPr>
          <w:rFonts w:ascii="Times New Roman" w:cs="Times New Roman" w:eastAsia="Times New Roman" w:hAnsi="Times New Roman"/>
          <w:sz w:val="13"/>
          <w:szCs w:val="13"/>
          <w:color w:val="auto"/>
        </w:rPr>
        <w:t>. The accounts receivable of the Company and its Subsidiaries represent valid obligations arising from bona fide transactions entered into in the ordinary course of business, and are collectible in full, net of any reserves reflected in the Company Financial Statements. None of such accounts receivable are subject to any claim of set-off, recoupment or counterclaim in excess of such reserves, and, to the Knowledge of the Company, there are no specific facts that would be likely to give rise to any such claim. The reserves shown on the Company Financial Statements and the accounting records of the Company and its Subsidiaries are adequate and calculated in accordance with GAAP applied on a consistent basis and consistent with past practice.</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4.32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Except for the representations and warranties expressly set forth in this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and the certificate delivered by the Company pursuant to </w:t>
      </w:r>
      <w:r>
        <w:rPr>
          <w:rFonts w:ascii="Times New Roman" w:cs="Times New Roman" w:eastAsia="Times New Roman" w:hAnsi="Times New Roman"/>
          <w:sz w:val="13"/>
          <w:szCs w:val="13"/>
          <w:u w:val="single" w:color="auto"/>
          <w:color w:val="auto"/>
        </w:rPr>
        <w:t>Section 7.2(e)</w:t>
      </w:r>
      <w:r>
        <w:rPr>
          <w:rFonts w:ascii="Times New Roman" w:cs="Times New Roman" w:eastAsia="Times New Roman" w:hAnsi="Times New Roman"/>
          <w:sz w:val="13"/>
          <w:szCs w:val="13"/>
          <w:color w:val="auto"/>
        </w:rPr>
        <w:t xml:space="preserve">, none of the Company, any of its Affiliates or any other Person on behalf of the Company or any of its Affiliates makes any express or implied representation or warranty with respect to the Company or any of its Subsidiaries or with respect to any other information provided to Parent, Merger Sub I or Merger Sub II or their Affiliates or Representatives in connection with this Agreement, the Mergers or the other transactions contemplated by this Agreement. The Company acknowledges and agrees that, except for the representations and warranties expressly set forth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in the certificate delivered by Parent pursuant to </w:t>
      </w:r>
      <w:r>
        <w:rPr>
          <w:rFonts w:ascii="Times New Roman" w:cs="Times New Roman" w:eastAsia="Times New Roman" w:hAnsi="Times New Roman"/>
          <w:sz w:val="13"/>
          <w:szCs w:val="13"/>
          <w:u w:val="single" w:color="auto"/>
          <w:color w:val="auto"/>
        </w:rPr>
        <w:t>Section 7.3(c)</w:t>
      </w:r>
      <w:r>
        <w:rPr>
          <w:rFonts w:ascii="Times New Roman" w:cs="Times New Roman" w:eastAsia="Times New Roman" w:hAnsi="Times New Roman"/>
          <w:sz w:val="13"/>
          <w:szCs w:val="13"/>
          <w:color w:val="auto"/>
        </w:rPr>
        <w:t xml:space="preserve">, (a) none of Parent, Merger Sub I or Merger Sub II or any of their respective Representatives makes, or has made, any representations or warranties relating to Parent, Merger Sub I or Merger Sub II or Parent’s business or otherwise in connection with the Mergers, and the Company is not relying on any representation or warranty of Parent, Merger Sub I or Merger Sub II, including any representation or warranty with respect to any estimates, projections, predictions, data, financial information, memoranda, presentations or any other materials or information provided or addressed to the Company, and any of its Subsidiaries or any of their Representatives, except, in each case, for those expressly set forth in this Agreement or in such certificate, and (b) no Person has been authorized by Parent, Merger Sub I or Merger Sub II to make any representation or warranty relating to Parent, Merger Sub I or Merger Sub II or their businesses or otherwise in connection with this Agreement or the Mergers, and if made, such representation or warranty must not be relied upon by the Company as having been authorized by such party. Nothing in this </w:t>
      </w:r>
      <w:r>
        <w:rPr>
          <w:rFonts w:ascii="Times New Roman" w:cs="Times New Roman" w:eastAsia="Times New Roman" w:hAnsi="Times New Roman"/>
          <w:sz w:val="13"/>
          <w:szCs w:val="13"/>
          <w:u w:val="single" w:color="auto"/>
          <w:color w:val="auto"/>
        </w:rPr>
        <w:t>Section 4.32</w:t>
      </w:r>
      <w:r>
        <w:rPr>
          <w:rFonts w:ascii="Times New Roman" w:cs="Times New Roman" w:eastAsia="Times New Roman" w:hAnsi="Times New Roman"/>
          <w:sz w:val="13"/>
          <w:szCs w:val="13"/>
          <w:color w:val="auto"/>
        </w:rPr>
        <w:t xml:space="preserve"> shall impact any rights of any party to this Agreement in respect of fraud.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ARTICLE V</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REPRESENTATIONS AND WARRANTIES OF PARENT, MERGER SUB I AND MERGER SUB II</w:t>
      </w:r>
    </w:p>
    <w:p>
      <w:pPr>
        <w:spacing w:after="0" w:line="80"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Except as disclosed in (i) the Parent SEC Documents filed on or after November 1, 2025 and publicly available at least one (1) Business Day prior to the date hereof only to the extent it is reasonably apparent on its face that such disclosure is relevant to any Section or subsection of this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(and excluding any disclosures contained under the captions “Risk Factors” or “Forward-Looking Statements,” and any other disclosures that are predictive, cautionary or forward-looking in nature), but it being understood that this clause (i) shall not be applicable to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Share Ownership</w:t>
      </w:r>
      <w:r>
        <w:rPr>
          <w:rFonts w:ascii="Times New Roman" w:cs="Times New Roman" w:eastAsia="Times New Roman" w:hAnsi="Times New Roman"/>
          <w:sz w:val="13"/>
          <w:szCs w:val="13"/>
          <w:color w:val="auto"/>
        </w:rPr>
        <w:t xml:space="preserve">),and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or (ii) the corresponding sections of the Parent Disclosure Letter (subject to </w:t>
      </w:r>
      <w:r>
        <w:rPr>
          <w:rFonts w:ascii="Times New Roman" w:cs="Times New Roman" w:eastAsia="Times New Roman" w:hAnsi="Times New Roman"/>
          <w:sz w:val="13"/>
          <w:szCs w:val="13"/>
          <w:u w:val="single" w:color="auto"/>
          <w:color w:val="auto"/>
        </w:rPr>
        <w:t>Section 9.3(b)</w:t>
      </w:r>
      <w:r>
        <w:rPr>
          <w:rFonts w:ascii="Times New Roman" w:cs="Times New Roman" w:eastAsia="Times New Roman" w:hAnsi="Times New Roman"/>
          <w:sz w:val="13"/>
          <w:szCs w:val="13"/>
          <w:color w:val="auto"/>
        </w:rPr>
        <w:t>), Parent, Merger Sub I and Merger Sub II hereby jointly and severally represent and warrant to the Company as follows:</w:t>
      </w:r>
    </w:p>
    <w:p>
      <w:pPr>
        <w:spacing w:after="0" w:line="13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 </w:t>
      </w:r>
      <w:r>
        <w:rPr>
          <w:rFonts w:ascii="Times New Roman" w:cs="Times New Roman" w:eastAsia="Times New Roman" w:hAnsi="Times New Roman"/>
          <w:sz w:val="13"/>
          <w:szCs w:val="13"/>
          <w:u w:val="single" w:color="auto"/>
          <w:color w:val="auto"/>
        </w:rPr>
        <w:t>Organization and Qualification</w:t>
      </w:r>
      <w:r>
        <w:rPr>
          <w:rFonts w:ascii="Times New Roman" w:cs="Times New Roman" w:eastAsia="Times New Roman" w:hAnsi="Times New Roman"/>
          <w:sz w:val="13"/>
          <w:szCs w:val="13"/>
          <w:color w:val="auto"/>
        </w:rPr>
        <w:t>. Each of Parent, Merger Sub I and Merger Sub II is a corporation, limited liability company or other legal entity duly organized, validly existing and in good standing (to the extent that the concept of “good standing” is applicable in such jurisdiction) under the Laws of the jurisdiction of its incorporation or organization and has the requisite entity power and authority to own, lease and operate its properties and assets and to conduct its business as it is now being conducted, except where the failure to be in good standing or to have such power and authority as would not reasonably be expected to have, individually or in the aggregate, a Parent Material Adverse Effect. Each of Parent, Merger Sub I and Merger Sub II is duly qualified or licensed to do business and (to the extent applicable) is in good standing in each jurisdiction in which the nature of the business conducted by it or the ownership, leasing or operation of its properties or assets makes such qualification or licensing necessary, except where the failure to be so duly qualified or licensed and (to the extent applicable) in good standing would not reasonably be expected to have, individually or in the aggregate, a Parent Material Adverse Effect.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51" w:lineRule="auto"/>
        <w:tabs>
          <w:tab w:leader="none" w:pos="1508"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capital stock of Parent consists of 1,000,000,000 Parent Shares, of which, as of the close of business on January 13, 2026 (the “</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there were 70,839,275 Parent Shares issued and outstanding. No Subsidiary of Parent owns any Parent Shares or has any option or warrant to purchase any Parent Shares or any other Equity Interest in Parent. All of the outstanding Parent Shares have been duly authorized and validly issued and are fully paid, nonassessable and free of preemptive rights.</w:t>
      </w:r>
    </w:p>
    <w:p>
      <w:pPr>
        <w:spacing w:after="0" w:line="13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close of business on the Parent Capitalization Date, Parent has no Parent Shares subject to or reserved for issuance, except for</w:t>
      </w:r>
    </w:p>
    <w:p>
      <w:pPr>
        <w:spacing w:after="0" w:line="26" w:lineRule="exact"/>
        <w:rPr>
          <w:rFonts w:ascii="Times New Roman" w:cs="Times New Roman" w:eastAsia="Times New Roman" w:hAnsi="Times New Roman"/>
          <w:sz w:val="12"/>
          <w:szCs w:val="12"/>
          <w:color w:val="auto"/>
        </w:rPr>
      </w:pPr>
    </w:p>
    <w:p>
      <w:pPr>
        <w:ind w:left="640" w:right="659" w:hanging="3"/>
        <w:spacing w:after="0" w:line="244" w:lineRule="auto"/>
        <w:tabs>
          <w:tab w:leader="none" w:pos="791"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2,046,639 Parent Shares subject to outstanding options to purchase Parent Shares under the Parent Equity Plans, (ii) 535,325 Parent Shares (including vested but deferred) underlying Parent restricted stock unit awards granted under the Parent Equity Plans, (iii) 465,872 Parent Shares (including vesting but deferred) underlying Parent performance stock units granted under the Parent Equity Plans (the “</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and (iv) 7,609,524 Parent Shares reserved for future issuance under the Parent Equity Plans for awards not yet granted. All of the Parent Shares reserved for issuance as described above shall be, when issued in accordance with the respective terms thereof, duly authorized, validly issued, fully paid and nonassessable and free of preemptive rights.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29" w:right="1440" w:bottom="1440" w:gutter="0" w:footer="0" w:header="0"/>
        </w:sectPr>
      </w:pPr>
    </w:p>
    <w:bookmarkStart w:id="58" w:name="page59"/>
    <w:bookmarkEnd w:id="58"/>
    <w:p>
      <w:pPr>
        <w:ind w:left="640" w:right="659" w:firstLine="693"/>
        <w:spacing w:after="0" w:line="272" w:lineRule="auto"/>
        <w:tabs>
          <w:tab w:leader="none" w:pos="150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As of the close of business on the Parent Capitalization Date, other than the Equity Interests identified in clauses (a) and (b) above, and except as set forth in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of the Parent Disclosure Letter, there were no existing and outstanding Equity Interests or other options, warrants, calls, subscriptions, preemptive rights, anti-dilution rights or other rights, stockholders’ rights plans or other agreements, convertible securities, awards of equity based compensation (including phantom stock), agreements or arrangements of any character (or any obligations to enter into such agreements or arrangements), relating to or based on the value of any Equity Interests of Parent or any of its Subsidiaries or obligating Parent or any of its Subsidiaries to issue, acquire, transfer, exchange, sell or register for sale any Equity Interests of Parent or any of its Subsidiaries.</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voting trusts or other agreements or understandings to which Parent or any of its Subsidiaries is a party with respect to the voting of Parent Shares or other Equity Interests of Parent or any of its Subsidiaries, other than any such agreements solely between and among Parent and any of its Subsidiaries or solely between and among two or more Subsidiaries of Parent. There are no outstanding bonds, debentures, notes or other indebtedness of Parent having the right to vote (or convertible into, or exchangeable for, securities having the right to vote) on any matters on which holders of Parent Shares may vote.</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5.3 </w:t>
      </w:r>
      <w:r>
        <w:rPr>
          <w:rFonts w:ascii="Times New Roman" w:cs="Times New Roman" w:eastAsia="Times New Roman" w:hAnsi="Times New Roman"/>
          <w:sz w:val="13"/>
          <w:szCs w:val="13"/>
          <w:u w:val="single" w:color="auto"/>
          <w:color w:val="auto"/>
        </w:rPr>
        <w:t>Authority Relative to Agreement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7" w:lineRule="auto"/>
        <w:tabs>
          <w:tab w:leader="none" w:pos="1508"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Merger Sub I and Merger Sub II have all necessary entity power and authority to execute and deliver this Agreement and, subject to obtaining the Requisite Parent Stockholder Approval, to perform its obligations hereunder and to consummate the transactions contemplated hereby, including the Mergers. Except for the Requisite Parent Stockholder Approval and filing the Certificates of Merger with the Secretary as required by the CCC and the Secretary of State of the State of Delaware as required by the DGCL, (A) the execution, delivery and performance of this Agreement by Parent, Merger Sub I and Merger Sub II, and the consummation by Parent, Merger Sub I and Merger Sub II of the transactions contemplated by this Agreement, have been duly and validly authorized by all necessary entity action by Parent, Merger Sub I and Merger Sub II, and</w:t>
      </w:r>
    </w:p>
    <w:p>
      <w:pPr>
        <w:spacing w:after="0" w:line="1" w:lineRule="exact"/>
        <w:rPr>
          <w:rFonts w:ascii="Times New Roman" w:cs="Times New Roman" w:eastAsia="Times New Roman" w:hAnsi="Times New Roman"/>
          <w:sz w:val="12"/>
          <w:szCs w:val="12"/>
          <w:color w:val="auto"/>
        </w:rPr>
      </w:pPr>
    </w:p>
    <w:p>
      <w:pPr>
        <w:ind w:left="640" w:right="679" w:hanging="3"/>
        <w:spacing w:after="0" w:line="244" w:lineRule="auto"/>
        <w:tabs>
          <w:tab w:leader="none" w:pos="84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other entity Action on the part of Parent, Merger Sub I and Merger Sub II is necessary to authorize the execution, delivery and performance of this Agreement by Parent, Merger Sub I and Merger Sub II and the consummation by Parent, Merger Sub I and Merger Sub II of the transactions contemplated by this Agreement. This Agreement has been duly executed and delivered by Parent, Merger Sub I and Merger Sub II and, assuming due authorization, execution and delivery of this Agreement by the other party hereto, constitutes a legal, valid and binding obligation of Parent, Merger Sub I and Merger Sub II, enforceable against Parent, Merger Sub I and Merger Sub II in accordance with its terms (except as may be limited by the Enforceability Exceptions).</w:t>
      </w:r>
    </w:p>
    <w:p>
      <w:pPr>
        <w:spacing w:after="0" w:line="136"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board of directors or similar governing body of each of Merger Sub I and Merger Sub II has unanimously approved this Agreement, the Mergers and the other transactions contemplated hereby. The board of directors or similar governing body of Parent has (i) approved this Agreement, the Mergers and the other transactions contemplated hereby, including the Parent Share Issuance, (ii) recommended the approval of this Agreement by Parent, as the sole owner of the Equity Interests of Merger Sub I and Merger Sub II, and (iii) resolved to make the Parent Recommendation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change, modification or rescission of such recommendation by the Parent Board in accordance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not be a breach of the representation in clause (iii)), and (iv) directed that the Parent Share Issuance be submitted to the stockholders of Parent for its adoption at the Parent Stockholders’ Meeting.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31" w:right="1440" w:bottom="1440" w:gutter="0" w:footer="0" w:header="0"/>
        </w:sectPr>
      </w:pPr>
    </w:p>
    <w:bookmarkStart w:id="59" w:name="page60"/>
    <w:bookmarkEnd w:id="59"/>
    <w:p>
      <w:pPr>
        <w:ind w:left="640" w:right="759" w:firstLine="693"/>
        <w:spacing w:after="0" w:line="255" w:lineRule="auto"/>
        <w:tabs>
          <w:tab w:leader="none" w:pos="1508"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acting in its capacity as the sole owner of the Equity Interests of Merger Sub I and Merger Sub II, has adopted this Agreement and the consummation of the transactions contemplated hereby, including the Mergers, and no further vote of, or consent by, Merger Sub I or Merger Sub II is required.</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5.4 </w:t>
      </w:r>
      <w:r>
        <w:rPr>
          <w:rFonts w:ascii="Times New Roman" w:cs="Times New Roman" w:eastAsia="Times New Roman" w:hAnsi="Times New Roman"/>
          <w:sz w:val="13"/>
          <w:szCs w:val="13"/>
          <w:u w:val="single" w:color="auto"/>
          <w:color w:val="auto"/>
        </w:rPr>
        <w:t>No Conflict; Required Filings and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3"/>
        <w:spacing w:after="0" w:line="267" w:lineRule="auto"/>
        <w:tabs>
          <w:tab w:leader="none" w:pos="1508"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None of the execution, delivery or performance of this Agreement by Parent, Merger Sub I and Merger Sub II or the consummation by Parent, Merger Sub I and Merger Sub II of the transactions contemplated hereby will (with or without notice or lapse of time, or both) directly or indirectly (i) conflict with or violate any provision of Parent’s or Merger Sub I’s certificate of incorporation or bylaws or Merger Sub II’s certificate of formation or operating agreement, (ii) assuming that the Consents, registrations, declarations, filings and notices referred to in </w:t>
      </w:r>
      <w:r>
        <w:rPr>
          <w:rFonts w:ascii="Times New Roman" w:cs="Times New Roman" w:eastAsia="Times New Roman" w:hAnsi="Times New Roman"/>
          <w:sz w:val="12"/>
          <w:szCs w:val="12"/>
          <w:u w:val="single" w:color="auto"/>
          <w:color w:val="auto"/>
        </w:rPr>
        <w:t>Section 5.4(b)</w:t>
      </w:r>
      <w:r>
        <w:rPr>
          <w:rFonts w:ascii="Times New Roman" w:cs="Times New Roman" w:eastAsia="Times New Roman" w:hAnsi="Times New Roman"/>
          <w:sz w:val="12"/>
          <w:szCs w:val="12"/>
          <w:color w:val="auto"/>
        </w:rPr>
        <w:t xml:space="preserve"> have been obtained or made, any applicable waiting periods referred to therein have terminated or expired and any condition precedent to any such Consent has been satisfied, conflict with or violate any Law applicable to Parent or any of its Subsidiaries (including Merger Sub I and Merger Sub II) or by which any property or asset of Parent or any of its Subsidiaries is bound or affected or (iii) except as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require any consent or approval under, violate, conflict with, result in any breach of or constitute a default under, or any loss of any benefit under, or result in termination or give to others any right of termination, vesting, amendment, acceleration or cancellation of, or result in the creation of a Lien (other than Permitted Liens) upon any of the respective properties or assets of Parent or any of its Subsidiaries pursuant to any material Contract to which Parent or any of its Subsidiaries is a party, other than, in the case of clauses (ii) and (iii), any such conflict, violation, breach, default, termination, acceleration or cancellation that would not have or reasonably be expected to have, individually or in the aggregate, a Parent Material Adverse Effect.</w:t>
      </w:r>
    </w:p>
    <w:p>
      <w:pPr>
        <w:spacing w:after="0" w:line="129" w:lineRule="exact"/>
        <w:rPr>
          <w:rFonts w:ascii="Times New Roman" w:cs="Times New Roman" w:eastAsia="Times New Roman" w:hAnsi="Times New Roman"/>
          <w:sz w:val="12"/>
          <w:szCs w:val="12"/>
          <w:color w:val="auto"/>
        </w:rPr>
      </w:pPr>
    </w:p>
    <w:p>
      <w:pPr>
        <w:ind w:left="640" w:right="659" w:firstLine="693"/>
        <w:spacing w:after="0" w:line="268" w:lineRule="auto"/>
        <w:tabs>
          <w:tab w:leader="none" w:pos="1515"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Consent of, or registration, declaration or filing with, or notice to, any Governmental Authority (with or without notice or lapse of time, or both) is required to be obtained or made by or with respect to Parent or any of its Subsidiaries in connection with the execution, delivery and performance of this Agreement, the Parent Share Issuance or the consummation of the Mergers and the other transactions contemplated hereby, other than (i) the filing with the SEC of the Joint Proxy Statement/Prospectus and the Form S-4, (ii) the filing of the Certificates of Merger with the Secretary in accordance with the CCC and the Secretary of State of the State of Delaware in accordance with the DGCL and the DLLCA, (iii) compliance with applicable requirements under any applicable foreign, federal or state securities or Blue Sky Laws, including pursuant to the applicable requirements of the Securities Act and the Exchange Act, (iv) such filings as may be required in connection with any Taxes, (v) such filings as may be required under the rules and regulations of the NASDAQ Global Market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xml:space="preserve">”), (vi) such other items required solely by reason of the participation of the Company in the transactions contemplated hereby which are set forth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of the Parent Disclosure Letter, (vii) compliance with and filings or notifications under the HSR Act or other Antitrust Laws and (viii) such other Consents, registrations, declarations, filings or notices the failure of which to be obtained or made would not reasonably be expected to have, individually or in the aggregate, a Parent Material Adverse Effect.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0" w:name="page61"/>
    <w:bookmarkEnd w:id="60"/>
    <w:p>
      <w:pPr>
        <w:ind w:left="640" w:right="639" w:firstLine="30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5.5 </w:t>
      </w:r>
      <w:r>
        <w:rPr>
          <w:rFonts w:ascii="Times New Roman" w:cs="Times New Roman" w:eastAsia="Times New Roman" w:hAnsi="Times New Roman"/>
          <w:sz w:val="12"/>
          <w:szCs w:val="12"/>
          <w:u w:val="single" w:color="auto"/>
          <w:color w:val="auto"/>
        </w:rPr>
        <w:t>Vote Required</w:t>
      </w:r>
      <w:r>
        <w:rPr>
          <w:rFonts w:ascii="Times New Roman" w:cs="Times New Roman" w:eastAsia="Times New Roman" w:hAnsi="Times New Roman"/>
          <w:sz w:val="12"/>
          <w:szCs w:val="12"/>
          <w:color w:val="auto"/>
        </w:rPr>
        <w:t>. The approval pursuant to Listing Rule 5635 of the Nasdaq Stock Market LLC of the issuance of Parent Shares pursuant to the First Merger (the “</w:t>
      </w:r>
      <w:r>
        <w:rPr>
          <w:rFonts w:ascii="Times New Roman" w:cs="Times New Roman" w:eastAsia="Times New Roman" w:hAnsi="Times New Roman"/>
          <w:sz w:val="12"/>
          <w:szCs w:val="12"/>
          <w:b w:val="1"/>
          <w:bCs w:val="1"/>
          <w:color w:val="auto"/>
        </w:rPr>
        <w:t>Parent Share Issuance</w:t>
      </w:r>
      <w:r>
        <w:rPr>
          <w:rFonts w:ascii="Times New Roman" w:cs="Times New Roman" w:eastAsia="Times New Roman" w:hAnsi="Times New Roman"/>
          <w:sz w:val="12"/>
          <w:szCs w:val="12"/>
          <w:color w:val="auto"/>
        </w:rPr>
        <w:t>”) by the affirmative vote of a majority in voting power of Parent Shares present in person or represented by proxy and entitled to vote thereon (the “</w:t>
      </w:r>
      <w:r>
        <w:rPr>
          <w:rFonts w:ascii="Times New Roman" w:cs="Times New Roman" w:eastAsia="Times New Roman" w:hAnsi="Times New Roman"/>
          <w:sz w:val="12"/>
          <w:szCs w:val="12"/>
          <w:b w:val="1"/>
          <w:bCs w:val="1"/>
          <w:color w:val="auto"/>
        </w:rPr>
        <w:t>Requisite Parent Stockholder Approval</w:t>
      </w:r>
      <w:r>
        <w:rPr>
          <w:rFonts w:ascii="Times New Roman" w:cs="Times New Roman" w:eastAsia="Times New Roman" w:hAnsi="Times New Roman"/>
          <w:sz w:val="12"/>
          <w:szCs w:val="12"/>
          <w:color w:val="auto"/>
        </w:rPr>
        <w:t>”) is the only vote or consent of holders of any class or series of capital stock of Parent that is required to approve the Parent Share Issuance and the other transactions contemplated by this Agreement.</w:t>
      </w:r>
    </w:p>
    <w:p>
      <w:pPr>
        <w:spacing w:after="0" w:line="116"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 xml:space="preserve">Section 5.6 </w:t>
      </w:r>
      <w:r>
        <w:rPr>
          <w:rFonts w:ascii="Times New Roman" w:cs="Times New Roman" w:eastAsia="Times New Roman" w:hAnsi="Times New Roman"/>
          <w:sz w:val="13"/>
          <w:szCs w:val="13"/>
          <w:u w:val="single" w:color="auto"/>
          <w:color w:val="auto"/>
        </w:rPr>
        <w:t>Parent Shares</w:t>
      </w:r>
      <w:r>
        <w:rPr>
          <w:rFonts w:ascii="Times New Roman" w:cs="Times New Roman" w:eastAsia="Times New Roman" w:hAnsi="Times New Roman"/>
          <w:sz w:val="13"/>
          <w:szCs w:val="13"/>
          <w:color w:val="auto"/>
        </w:rPr>
        <w:t>. Upon issuance, the Parent Shares that are issued as Merger Consideration will be duly authorized, validly issued, fully paid and nonassessable, free and clear of all Liens (other than Permitted Liens).</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5.7 </w:t>
      </w:r>
      <w:r>
        <w:rPr>
          <w:rFonts w:ascii="Times New Roman" w:cs="Times New Roman" w:eastAsia="Times New Roman" w:hAnsi="Times New Roman"/>
          <w:sz w:val="13"/>
          <w:szCs w:val="13"/>
          <w:u w:val="single" w:color="auto"/>
          <w:color w:val="auto"/>
        </w:rPr>
        <w:t>Parent SEC Documents; Financial Statements; No Undisclosed Liabilities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November 1, 2021, Parent has, in all material respects, timely filed with or furnished to (as applicable) the SEC all registration statements, prospectuses, forms, proxy statements, schedules, statements, documents and reports required to be filed or furnished prior to the date hereof by it with the SEC under the Securities Act or the Exchange Act, as the case may be (such documents and any other documents filed or furnished by Parent with the SEC, as have been supplemented, modified or amended since the time of filing, collectively,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xml:space="preserve">”). As of their respective filing dates or, if supplemented, modified or amended prior to the date hereof, as of the date of the most recent supplement, modification or amendment, the Parent SEC Documents complied in all material respects with the applicable requirements of the Exchange Act, the Securities Act or the Sarbanes-Oxley Act, as the case may be, and the applicable rules and regulations of the SEC promulgated thereunder and the listing and corporate governance rules and regulations of NASDAQ, and none of the Parent SEC Documents at the time it was filed (or, if supplemented, modified or amended, as of the date of the last supplement, modification or amendment) contained any untrue statement of a material fact or omitted to state any material fact required to be stated therein or necessary to make the statements therein, in light of the circumstances under which they were made, or are to be made, not misleading;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in each case, that no representation is made as to the accuracy of any financial projections or forward-looking statements or the completeness of any information filed or furnished by Parent with the SEC solely for the purposes of complying with Regulation FD promulgated under the Exchange Act. As of the date of this Agreement, there are no outstanding or unresolved comments in any comment letters of the staff of the SEC received by Parent or any of its Subsidiaries relating to the Parent SEC Documents. To the Knowledge of Parent, as of the date hereof, none of the Parent SEC Documents are the subject of ongoing SEC review or outstanding SEC investigation.</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7" w:lineRule="auto"/>
        <w:tabs>
          <w:tab w:leader="none" w:pos="1515"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audited consolidated financial statements and unaudited consolidated interim financial statements of Parent and its consolidated Subsidiaries (including, in each case, any related notes thereto) included in the Parent SEC Documents (i) when filed complied as to form in all material respects with the published rules and regulations of the SEC with respect thereto and (ii) fairly present in all material respects the consolidated financial position and the consolidated results of operations, cash flows and changes in stockholders’ equity of Parent and its consolidated Subsidiaries, taken as a whole, as of the dates and for the periods referred to therein in accordance with GAAP applied on a consistent basis during the periods involved (except as may be indicated in the notes thereto and, in the case of interim financial statements, subject to normal and recurring year-end adjustments, none of which would be material individually or in the aggregate, and the absence of notes).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1" w:name="page62"/>
    <w:bookmarkEnd w:id="61"/>
    <w:p>
      <w:pPr>
        <w:ind w:left="640" w:right="679" w:firstLine="693"/>
        <w:spacing w:after="0" w:line="269" w:lineRule="auto"/>
        <w:tabs>
          <w:tab w:leader="none" w:pos="1508"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Without limiting the generality of </w:t>
      </w:r>
      <w:r>
        <w:rPr>
          <w:rFonts w:ascii="Times New Roman" w:cs="Times New Roman" w:eastAsia="Times New Roman" w:hAnsi="Times New Roman"/>
          <w:sz w:val="12"/>
          <w:szCs w:val="12"/>
          <w:u w:val="single" w:color="auto"/>
          <w:color w:val="auto"/>
        </w:rPr>
        <w:t>Section 5.7(a)</w:t>
      </w:r>
      <w:r>
        <w:rPr>
          <w:rFonts w:ascii="Times New Roman" w:cs="Times New Roman" w:eastAsia="Times New Roman" w:hAnsi="Times New Roman"/>
          <w:sz w:val="12"/>
          <w:szCs w:val="12"/>
          <w:color w:val="auto"/>
        </w:rPr>
        <w:t>, (i) Deloitte &amp; Touche LLP has not resigned or been dismissed as independent public accountants of Parent as a result of or in connection with any disagreement with Parent on a matter of accounting principles or practices, financial statement disclosure or auditing scope or procedure, (ii) since November 1, 2021, neither Parent nor, to the Knowledge of Parent, any Representative of Parent, has formally received any material written complaint, allegation, assertion or claim regarding the accounting or auditing practices, procedures, methodologies or methods of Parent or its internal accounting controls, including any material complaint, allegation, assertion or claim that a member of Parent has engaged in questionable accounting or auditing practices, (iii) no executive officer of Parent has failed in any respect to make, without qualification, the certifications required of him or her under Section 302 or 906 of the Sarbanes-Oxley Act with respect to any form, report or schedule filed by Parent with the SEC since the enactment of the Sarbanes-Oxley Act and (iv) to the Knowledge of Parent, since November 1, 2021 no enforcement action has been initiated against or threatened against Parent by the SEC relating to disclosures contained in any Parent SEC Document.</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51" w:lineRule="auto"/>
        <w:tabs>
          <w:tab w:leader="none" w:pos="1515"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neither Parent nor any of its Subsidiaries is a party to, or has any commitment to become a party to, any “off balance sheet arrangements” (as defined in Item 303(a) of Regulation S-K promulgated by the SEC), where the purpose, result or intended effect of such arrangement is to avoid disclosure of any material transaction involving, or material liabilities of, Parent or any of its Subsidiaries in the Parent SEC Documents.</w:t>
      </w:r>
    </w:p>
    <w:p>
      <w:pPr>
        <w:spacing w:after="0" w:line="132" w:lineRule="exact"/>
        <w:rPr>
          <w:rFonts w:ascii="Times New Roman" w:cs="Times New Roman" w:eastAsia="Times New Roman" w:hAnsi="Times New Roman"/>
          <w:sz w:val="13"/>
          <w:szCs w:val="13"/>
          <w:color w:val="auto"/>
        </w:rPr>
      </w:pPr>
    </w:p>
    <w:p>
      <w:pPr>
        <w:ind w:left="640" w:right="759" w:firstLine="693"/>
        <w:spacing w:after="0" w:line="248" w:lineRule="auto"/>
        <w:tabs>
          <w:tab w:leader="none" w:pos="150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those liabilities and obligations (a) as specifically reflected and reserved against in the Parent Financial Statements filed prior to the date hereof in the Parent SEC Documents, (b) incurred in the ordinary course of business since October 31, 2025, consistent with past practice in all material respects, (c) that have not had and would not reasonably be expected to have, individually or in the aggregate, a Parent Material Adverse Effect or (d) as set forth in </w:t>
      </w:r>
      <w:r>
        <w:rPr>
          <w:rFonts w:ascii="Times New Roman" w:cs="Times New Roman" w:eastAsia="Times New Roman" w:hAnsi="Times New Roman"/>
          <w:sz w:val="13"/>
          <w:szCs w:val="13"/>
          <w:u w:val="single" w:color="auto"/>
          <w:color w:val="auto"/>
        </w:rPr>
        <w:t>Section 5.7</w:t>
      </w:r>
      <w:r>
        <w:rPr>
          <w:rFonts w:ascii="Times New Roman" w:cs="Times New Roman" w:eastAsia="Times New Roman" w:hAnsi="Times New Roman"/>
          <w:sz w:val="13"/>
          <w:szCs w:val="13"/>
          <w:color w:val="auto"/>
        </w:rPr>
        <w:t xml:space="preserve"> of the Parent Disclosure Letter, as of the date hereof, Parent and its Subsidiaries are not subject to any liabilities or obligations of any nature, whether or not accrued, contingent or otherwise, that would be required by GAAP to be reflected on a consolidated balance sheet (or in the notes thereto) of Parent.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5.8 </w:t>
      </w:r>
      <w:r>
        <w:rPr>
          <w:rFonts w:ascii="Times New Roman" w:cs="Times New Roman" w:eastAsia="Times New Roman" w:hAnsi="Times New Roman"/>
          <w:sz w:val="13"/>
          <w:szCs w:val="13"/>
          <w:u w:val="single" w:color="auto"/>
          <w:color w:val="auto"/>
        </w:rPr>
        <w:t>Disclosure Controls and Procedures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6" w:lineRule="auto"/>
        <w:tabs>
          <w:tab w:leader="none" w:pos="150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established and maintains “disclosure controls and procedures” and “internal control over financial reporting” (as such terms are defined in paragraphs (e) and (f), respectively, of Rule 13a-15 promulgated under the Exchange Act) as required by Rule 13a-15 promulgated under the Exchange Act intended to (i) provide reasonable assurances regarding the reliability of financial reporting for Parent and its Subsidiaries and the preparation of financial statements for external purposes in accordance with GAAP and (ii)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Parent has disclosed, based on its most recent evaluation of Parent’s internal control over financial reporting prior to the date hereof, to Parent’s auditors and the audit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2" w:name="page63"/>
    <w:bookmarkEnd w:id="62"/>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committee of the Parent Board (a) any significant deficiencies and material weaknesses in the design or operation of its internal controls over financial reporting (as defined in Rule 13a-15(f) under the Exchange Act)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134" w:lineRule="exact"/>
        <w:rPr>
          <w:sz w:val="20"/>
          <w:szCs w:val="20"/>
          <w:color w:val="auto"/>
        </w:rPr>
      </w:pPr>
    </w:p>
    <w:p>
      <w:pPr>
        <w:ind w:left="640" w:right="759" w:firstLine="693"/>
        <w:spacing w:after="0" w:line="255" w:lineRule="auto"/>
        <w:tabs>
          <w:tab w:leader="none" w:pos="1515"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made any prohibited loans to any executive officer of Parent (as defined in Rule 3b-7 under the Exchange Act) or director of Parent. There are no outstanding loans or other extensions of credit made by Parent or any of its Subsidiaries to any executive officer of Parent (as defined in Rule 3b-7 under the Exchange Act) or director of Parent.</w:t>
      </w:r>
    </w:p>
    <w:p>
      <w:pPr>
        <w:spacing w:after="0" w:line="130"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5.9 </w:t>
      </w:r>
      <w:r>
        <w:rPr>
          <w:rFonts w:ascii="Times New Roman" w:cs="Times New Roman" w:eastAsia="Times New Roman" w:hAnsi="Times New Roman"/>
          <w:sz w:val="13"/>
          <w:szCs w:val="13"/>
          <w:u w:val="single" w:color="auto"/>
          <w:color w:val="auto"/>
        </w:rPr>
        <w:t>Absence of Certain Changes or Events</w:t>
      </w:r>
      <w:r>
        <w:rPr>
          <w:rFonts w:ascii="Times New Roman" w:cs="Times New Roman" w:eastAsia="Times New Roman" w:hAnsi="Times New Roman"/>
          <w:sz w:val="13"/>
          <w:szCs w:val="13"/>
          <w:color w:val="auto"/>
        </w:rPr>
        <w:t>. Since November 1, 2024 through the date of this Agreement, there has not occurred any adverse change, event, effect or circumstance that has had, or would reasonably be expected to have, individually or in the aggregate, a Parent Material Adverse Effect.</w:t>
      </w:r>
    </w:p>
    <w:p>
      <w:pPr>
        <w:spacing w:after="0" w:line="13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5.10 </w:t>
      </w:r>
      <w:r>
        <w:rPr>
          <w:rFonts w:ascii="Times New Roman" w:cs="Times New Roman" w:eastAsia="Times New Roman" w:hAnsi="Times New Roman"/>
          <w:sz w:val="13"/>
          <w:szCs w:val="13"/>
          <w:u w:val="single" w:color="auto"/>
          <w:color w:val="auto"/>
        </w:rPr>
        <w:t>Litigation</w:t>
      </w:r>
      <w:r>
        <w:rPr>
          <w:rFonts w:ascii="Times New Roman" w:cs="Times New Roman" w:eastAsia="Times New Roman" w:hAnsi="Times New Roman"/>
          <w:sz w:val="13"/>
          <w:szCs w:val="13"/>
          <w:color w:val="auto"/>
        </w:rPr>
        <w:t>. There is no Action pending or, to the Knowledge of Parent, threatened against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nor is there any Order of any Governmental Authority outstanding against, or, to the Knowledge of Parent, investigation by any Governmental Authority involving, Parent or any of its Subsidiaries that, individually or in the aggregate, would reasonably be expected to have a Parent Material Adverse Effect or would reasonably be expected to prevent, materially delay or materially impair the ability of Parent, Merger Sub I or Merger Sub II to fulfill its obligations under this Agreement or consummate the transactions contemplated hereby. As of the date hereof, there is no Action pending or, to the Knowledge of Parent, threatened seeking to prevent, enjoin, hinder, modify, delay or challenge the Mergers or any of the other transactions contemplated by this Agreement.</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5.11 </w:t>
      </w:r>
      <w:r>
        <w:rPr>
          <w:rFonts w:ascii="Times New Roman" w:cs="Times New Roman" w:eastAsia="Times New Roman" w:hAnsi="Times New Roman"/>
          <w:sz w:val="13"/>
          <w:szCs w:val="13"/>
          <w:u w:val="single" w:color="auto"/>
          <w:color w:val="auto"/>
        </w:rPr>
        <w:t>Permits; Compliance with Laws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693"/>
        <w:spacing w:after="0" w:line="246" w:lineRule="auto"/>
        <w:tabs>
          <w:tab w:leader="none" w:pos="1508"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(i) are in possession of all authorizations, permits, franchises, grants, easements, variances, exemptions, exceptions, permissions, Consents and certificates of any Governmental Authority, (ii) have filed all tariffs, reports, notices and other documents necessary for Parent and its Subsidiaries to operate their businesses as currently conducted (clauses (i) and (ii), collectively, the “</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and all Parent Permits are in full force and effect and no suspension, modification, or cancellation of any of the Parent Permits is pending or, to the Knowledge of Parent, threatened, except where the failure to be in possession of, to have filed or be in full force and effect, or the suspension, modification or cancellation of, any of the Parent Permits would not reasonably be expected to have, individually or in the aggregate, a Parent Material Adverse Effect. Each of Parent and each of its Subsidiaries is in compliance with the terms and requirements of all Parent Permits, and neither Parent nor any of its Subsidiaries has received any written notice regarding a material default or violation in respect of any of the Parent Permits, except where the failure to be in compliance has not had and would not reasonably be expected to have, individually or in the aggregate, a Parent Material Adverse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3" w:name="page64"/>
    <w:bookmarkEnd w:id="63"/>
    <w:p>
      <w:pPr>
        <w:ind w:left="640" w:right="759" w:firstLine="693"/>
        <w:spacing w:after="0" w:line="272" w:lineRule="auto"/>
        <w:tabs>
          <w:tab w:leader="none" w:pos="1515"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None of Parent nor any of its Subsidiaries is, and since November 1, 2021, has not been, in conflict with, in default under or in violation of any Law applicable to Parent or any of its Subsidiaries or by which any property or asset of Parent or any of its Subsidiaries is bound or affected, except for any such conflicts, defaults or violations that has not had or would not reasonably be expected to have, individually or in the aggregate, a Parent Material Adverse Effect. Since November 1, 2021, neither Parent nor any of its Subsidiaries has received any written notice or, to the Knowledge of Parent, other communication from any Governmental Authority regarding any actual or possible violation of, or failure to comply with, any Law, except as has not had and would not reasonably be expected to have, individually or in the aggregate, a Parent Material Adverse Effect.</w:t>
      </w:r>
    </w:p>
    <w:p>
      <w:pPr>
        <w:spacing w:after="0" w:line="123"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5.12 </w:t>
      </w:r>
      <w:r>
        <w:rPr>
          <w:rFonts w:ascii="Times New Roman" w:cs="Times New Roman" w:eastAsia="Times New Roman" w:hAnsi="Times New Roman"/>
          <w:sz w:val="12"/>
          <w:szCs w:val="12"/>
          <w:u w:val="single" w:color="auto"/>
          <w:color w:val="auto"/>
        </w:rPr>
        <w:t>Form S-4; Proxy Statement</w:t>
      </w:r>
      <w:r>
        <w:rPr>
          <w:rFonts w:ascii="Times New Roman" w:cs="Times New Roman" w:eastAsia="Times New Roman" w:hAnsi="Times New Roman"/>
          <w:sz w:val="12"/>
          <w:szCs w:val="12"/>
          <w:color w:val="auto"/>
        </w:rPr>
        <w:t>. The Joint Proxy Statement/Prospectus and the Form S-4 will not, at the date the Joint Proxy Statement/Prospectus is first mailed to the stockholders of the Company and at the time of the Company Stockholders’ Meeting (as it may be adjourned or postponed in accordance with the terms hereof), or at the time the Form S-4 is filed and the date it is declared effective or any post-effective amendment thereto is filed or is declared effective, contain any untrue statement of a material fact or omit to state any material fact required to be stated therein or necessary to make the statements therein, in light of the circumstances under which they are made, not misleading, except that no representation or warranty is made by Parent, Merger Sub I or Merger Sub II with regards to statements made therein based on information supplied by or on behalf of the Company (or any of its Affiliates) for inclusion therein. The Joint Proxy Statement/Prospectus and the Form S-4, each will, when filed with the SEC, comply as to form in all material respects with the applicable requirements of the Securities Act and the Exchange Act.</w:t>
      </w:r>
    </w:p>
    <w:p>
      <w:pPr>
        <w:spacing w:after="0" w:line="12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5.13 </w:t>
      </w:r>
      <w:r>
        <w:rPr>
          <w:rFonts w:ascii="Times New Roman" w:cs="Times New Roman" w:eastAsia="Times New Roman" w:hAnsi="Times New Roman"/>
          <w:sz w:val="13"/>
          <w:szCs w:val="13"/>
          <w:u w:val="single" w:color="auto"/>
          <w:color w:val="auto"/>
        </w:rPr>
        <w:t>Sufficient Funds</w:t>
      </w:r>
      <w:r>
        <w:rPr>
          <w:rFonts w:ascii="Times New Roman" w:cs="Times New Roman" w:eastAsia="Times New Roman" w:hAnsi="Times New Roman"/>
          <w:sz w:val="13"/>
          <w:szCs w:val="13"/>
          <w:color w:val="auto"/>
        </w:rPr>
        <w:t xml:space="preserve">. At the Closing, Parent shall have funds sufficient and available to pay the </w:t>
      </w:r>
      <w:r>
        <w:rPr>
          <w:rFonts w:ascii="Times New Roman" w:cs="Times New Roman" w:eastAsia="Times New Roman" w:hAnsi="Times New Roman"/>
          <w:sz w:val="13"/>
          <w:szCs w:val="13"/>
          <w:u w:val="single" w:color="auto"/>
          <w:color w:val="auto"/>
        </w:rPr>
        <w:t>aggregate Per Share Cash Consideration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and Fractional Share Consideration,</w:t>
      </w:r>
      <w:r>
        <w:rPr>
          <w:rFonts w:ascii="Times New Roman" w:cs="Times New Roman" w:eastAsia="Times New Roman" w:hAnsi="Times New Roman"/>
          <w:sz w:val="13"/>
          <w:szCs w:val="13"/>
          <w:color w:val="auto"/>
        </w:rPr>
        <w:t xml:space="preserve"> consummate the transactions contemplated hereby, and pay all associated costs and Expenses of the Mergers (including any fees and expenses related to the transactions contemplated hereby).</w:t>
      </w:r>
    </w:p>
    <w:p>
      <w:pPr>
        <w:spacing w:after="0" w:line="130" w:lineRule="exact"/>
        <w:rPr>
          <w:sz w:val="20"/>
          <w:szCs w:val="20"/>
          <w:color w:val="auto"/>
        </w:rPr>
      </w:pPr>
    </w:p>
    <w:p>
      <w:pPr>
        <w:ind w:left="640" w:right="779" w:firstLine="309"/>
        <w:spacing w:after="0" w:line="247" w:lineRule="auto"/>
        <w:rPr>
          <w:sz w:val="20"/>
          <w:szCs w:val="20"/>
          <w:color w:val="auto"/>
        </w:rPr>
      </w:pPr>
      <w:r>
        <w:rPr>
          <w:rFonts w:ascii="Times New Roman" w:cs="Times New Roman" w:eastAsia="Times New Roman" w:hAnsi="Times New Roman"/>
          <w:sz w:val="13"/>
          <w:szCs w:val="13"/>
          <w:color w:val="auto"/>
        </w:rPr>
        <w:t xml:space="preserve">Section 5.14 </w:t>
      </w:r>
      <w:r>
        <w:rPr>
          <w:rFonts w:ascii="Times New Roman" w:cs="Times New Roman" w:eastAsia="Times New Roman" w:hAnsi="Times New Roman"/>
          <w:sz w:val="13"/>
          <w:szCs w:val="13"/>
          <w:u w:val="single" w:color="auto"/>
          <w:color w:val="auto"/>
        </w:rPr>
        <w:t>Capitalization of Merger Sub I and Merger Sub II</w:t>
      </w:r>
      <w:r>
        <w:rPr>
          <w:rFonts w:ascii="Times New Roman" w:cs="Times New Roman" w:eastAsia="Times New Roman" w:hAnsi="Times New Roman"/>
          <w:sz w:val="13"/>
          <w:szCs w:val="13"/>
          <w:color w:val="auto"/>
        </w:rPr>
        <w:t>. The authorized share capital of Merger Sub I consists of 100 shares, $0.0001 par value per share, all of which are validly issued and outstanding. All of the issued and outstanding share capital of Merger Sub I is, and at the First Effective Time will be, owned directly by Parent. The authorized equity capital of Merger Sub II consists of 100% of the limited liability company interests of Merger Sub II, all of which are validly issued and outstanding. All of the issued and outstanding limited liability company interests of Merger Sub II are, and at the Second Effective Time will be, owned directly by Parent. No Prior Operations of Merger Sub I or Merger Sub II. Merger Sub I and Merger Sub II were formed solely for the purpose of effecting the Mergers and have not engaged in any business activities or conducted any operations other than in connection with the transactions contemplated hereby.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4" w:name="page65"/>
    <w:bookmarkEnd w:id="64"/>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5.15 </w:t>
      </w:r>
      <w:r>
        <w:rPr>
          <w:rFonts w:ascii="Times New Roman" w:cs="Times New Roman" w:eastAsia="Times New Roman" w:hAnsi="Times New Roman"/>
          <w:sz w:val="13"/>
          <w:szCs w:val="13"/>
          <w:u w:val="single" w:color="auto"/>
          <w:color w:val="auto"/>
        </w:rPr>
        <w:t>Share Ownership</w:t>
      </w:r>
      <w:r>
        <w:rPr>
          <w:rFonts w:ascii="Times New Roman" w:cs="Times New Roman" w:eastAsia="Times New Roman" w:hAnsi="Times New Roman"/>
          <w:sz w:val="13"/>
          <w:szCs w:val="13"/>
          <w:color w:val="auto"/>
        </w:rPr>
        <w:t>. Neither Parent nor Merger Sub I or Merger Sub II owns (beneficially or otherwise) any Company Common Stock or other Equity Interests in the Company or any options, warrants or other rights to acquire Company Common Stock or other Equity Interests in the Company (or any other economic interest through derivative securities or otherwise in the Company).</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5.16 </w:t>
      </w:r>
      <w:r>
        <w:rPr>
          <w:rFonts w:ascii="Times New Roman" w:cs="Times New Roman" w:eastAsia="Times New Roman" w:hAnsi="Times New Roman"/>
          <w:sz w:val="13"/>
          <w:szCs w:val="13"/>
          <w:u w:val="single" w:color="auto"/>
          <w:color w:val="auto"/>
        </w:rPr>
        <w:t>Brokers</w:t>
      </w:r>
      <w:r>
        <w:rPr>
          <w:rFonts w:ascii="Times New Roman" w:cs="Times New Roman" w:eastAsia="Times New Roman" w:hAnsi="Times New Roman"/>
          <w:sz w:val="13"/>
          <w:szCs w:val="13"/>
          <w:color w:val="auto"/>
        </w:rPr>
        <w:t xml:space="preserve">. Except for those Persons set forth in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color w:val="auto"/>
        </w:rPr>
        <w:t xml:space="preserve"> of the Parent Disclosure Letter, no broker, finder, financial advisor, investment banker, consultant or intermediary is entitled to any investment banking, brokerage, finder’s, advisory or similar fee or commission in connection with the Mergers or any of the other transactions contemplated by this Agreement based upon arrangements made by or on behalf of Parent or any of its Subsidiaries.</w:t>
      </w:r>
    </w:p>
    <w:p>
      <w:pPr>
        <w:spacing w:after="0" w:line="1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5.17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ind w:left="640" w:right="699" w:firstLine="693"/>
        <w:spacing w:after="0" w:line="246" w:lineRule="auto"/>
        <w:tabs>
          <w:tab w:leader="none" w:pos="150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its Subsidiaries have duly and timely filed or caused to be filed all income and other material Tax Returns required to be filed by or with respect to any of them (taking into account applicable extensions); (ii) each of such filed Tax Returns (taking into account all amendments thereto) is true and complete in all material respects; (iii) all income and other material Taxes due and owing by Parent and its Subsidiaries (whether or not shown to be due on any Tax Returns) have been timely paid in full; (iv) neither Parent nor any of its Subsidiaries is currently the beneficiary of any extension of time within which to file any income or other material Tax Return (other than automatically granted extensions of time to file Tax Returns obtained in the ordinary course of business); and (v) no claim has ever been made in writing by a Governmental Authority in a jurisdiction where Parent or any of its Subsidiaries does not file a Tax Return that such entity is or may be subject to taxation by that jurisdiction in respect of Taxes that would be covered by or the subject of such Tax Return.</w:t>
      </w:r>
    </w:p>
    <w:p>
      <w:pPr>
        <w:spacing w:after="0" w:line="63"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Neither Parent nor any of its Subsidiaries has received written notice of any audit, assessment, examination or other Action from any Taxing Authority and there are no pending or, to the Knowledge of Parent, threatened audits, assessments, examinations or other Actions from any Taxing Authority, in each case, in respect of material Taxes of Parent or any of its Subsidiaries, which have not been fully paid or settled; (ii) there are no Liens for material Taxes on any of the assets of Parent or any of its Subsidiaries other than Permitted Liens; (iii) neither Parent nor any of its Subsidiaries has granted any waiver or extension of any statute of limitations with respect to, or any extension of a period for the assessment of, any material Tax, nor has any request been made in writing for any such extension or waiver which extension or waiver is currently in effect; and (iv) no deficiencies for material Taxes with respect to Parent or any of its Subsidiaries have been claimed, proposed or assessed by any Taxing Authority, which have not been fully paid or settled.</w:t>
      </w:r>
    </w:p>
    <w:p>
      <w:pPr>
        <w:spacing w:after="0" w:line="63" w:lineRule="exact"/>
        <w:rPr>
          <w:rFonts w:ascii="Times New Roman" w:cs="Times New Roman" w:eastAsia="Times New Roman" w:hAnsi="Times New Roman"/>
          <w:sz w:val="13"/>
          <w:szCs w:val="13"/>
          <w:color w:val="auto"/>
        </w:rPr>
      </w:pPr>
    </w:p>
    <w:p>
      <w:pPr>
        <w:jc w:val="both"/>
        <w:ind w:left="640" w:right="679" w:firstLine="693"/>
        <w:spacing w:after="0" w:line="251" w:lineRule="auto"/>
        <w:tabs>
          <w:tab w:leader="none" w:pos="1508"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U.S. federal income Tax purposes, Merger Sub II is and has always been “disregarded as an entity separate from its owner” as such phrase is used in Treasury Regulations Section 301.7701-2(c)(2)(i). Neither Parent nor any of its Subsidiaries knows of any fact relating to Parent or the Merger Subs, or has taken or agreed to take any action, that would reasonably be expected to prevent or impede the Mergers, taken together, from qualifying for the Intended Tax Treatment.</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5" w:name="page66"/>
    <w:bookmarkEnd w:id="65"/>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5.18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Except for the representations and warranties expressly set forth in this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the certificate delivered by Parent pursuant to </w:t>
      </w:r>
      <w:r>
        <w:rPr>
          <w:rFonts w:ascii="Times New Roman" w:cs="Times New Roman" w:eastAsia="Times New Roman" w:hAnsi="Times New Roman"/>
          <w:sz w:val="12"/>
          <w:szCs w:val="12"/>
          <w:u w:val="single" w:color="auto"/>
          <w:color w:val="auto"/>
        </w:rPr>
        <w:t>Section 7.3(c)</w:t>
      </w:r>
      <w:r>
        <w:rPr>
          <w:rFonts w:ascii="Times New Roman" w:cs="Times New Roman" w:eastAsia="Times New Roman" w:hAnsi="Times New Roman"/>
          <w:sz w:val="12"/>
          <w:szCs w:val="12"/>
          <w:color w:val="auto"/>
        </w:rPr>
        <w:t xml:space="preserve">, none of Parent, any of its Affiliates or any other Person on behalf of Parent or any of its Affiliates makes any express or implied representation or warranty with respect to Parent or its Subsidiaries or with respect to any other information provided to the Company or its Affiliates or Representatives in connection with this Agreement, the Mergers or the other transactions contemplated by this Agreement. Parent, Merger Sub I and Merger Sub II each acknowledges and agrees that, except for the representations and warranties expressly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and in the certificate delivered by the Company pursuant to </w:t>
      </w:r>
      <w:r>
        <w:rPr>
          <w:rFonts w:ascii="Times New Roman" w:cs="Times New Roman" w:eastAsia="Times New Roman" w:hAnsi="Times New Roman"/>
          <w:sz w:val="12"/>
          <w:szCs w:val="12"/>
          <w:u w:val="single" w:color="auto"/>
          <w:color w:val="auto"/>
        </w:rPr>
        <w:t>Section 7.2(e)</w:t>
      </w:r>
      <w:r>
        <w:rPr>
          <w:rFonts w:ascii="Times New Roman" w:cs="Times New Roman" w:eastAsia="Times New Roman" w:hAnsi="Times New Roman"/>
          <w:sz w:val="12"/>
          <w:szCs w:val="12"/>
          <w:color w:val="auto"/>
        </w:rPr>
        <w:t xml:space="preserve">, (a) neither the Company, any of its Subsidiaries nor any of their respective Representatives makes, or has made, any representations or warranties relating to the Company, the Company’s Subsidiaries or the businesses of the Company or its Subsidiaries or otherwise in connection with the Mergers, except for those expressly set forth in this Agreement or in such certificate, (b) none of Parent, Merger Sub I, Merger Sub II, or their Affiliates is relying on any representation or warranty of the Company, its Subsidiaries or Affiliates, including any representation or warranty with respect to any estimates, projections, predictions, data, financial information, memoranda, presentations or any other materials or information provided or addressed to Parent, Merger Sub I, Merger Sub II or any of their Affiliates or Representatives, except, in each case, for those expressly set forth in this Agreement or in such certificate, and (c) no Person has been authorized by the Company or any of its Subsidiaries to make any representation or warranty relating to the Company or any of its Subsidiaries or the businesses of the Company or its Subsidiaries or otherwise in connection with this Agreement or the Mergers, and if made, such representation or warranty must not be relied upon by Parent, Merger Sub I, Merger Sub II or their Affiliates as having been authorized by such party. Nothing in this </w:t>
      </w:r>
      <w:r>
        <w:rPr>
          <w:rFonts w:ascii="Times New Roman" w:cs="Times New Roman" w:eastAsia="Times New Roman" w:hAnsi="Times New Roman"/>
          <w:sz w:val="12"/>
          <w:szCs w:val="12"/>
          <w:u w:val="single" w:color="auto"/>
          <w:color w:val="auto"/>
        </w:rPr>
        <w:t>Section 5.18</w:t>
      </w:r>
      <w:r>
        <w:rPr>
          <w:rFonts w:ascii="Times New Roman" w:cs="Times New Roman" w:eastAsia="Times New Roman" w:hAnsi="Times New Roman"/>
          <w:sz w:val="12"/>
          <w:szCs w:val="12"/>
          <w:color w:val="auto"/>
        </w:rPr>
        <w:t xml:space="preserve"> shall impact any rights of any party to this Agreement in respect of fraud with respect to the representations and warranties made by the Company in this Agreement.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COVENANTS AND AGREEMENTS</w:t>
      </w:r>
    </w:p>
    <w:p>
      <w:pPr>
        <w:spacing w:after="0" w:line="156"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6.1 </w:t>
      </w:r>
      <w:r>
        <w:rPr>
          <w:rFonts w:ascii="Times New Roman" w:cs="Times New Roman" w:eastAsia="Times New Roman" w:hAnsi="Times New Roman"/>
          <w:sz w:val="13"/>
          <w:szCs w:val="13"/>
          <w:u w:val="single" w:color="auto"/>
          <w:color w:val="auto"/>
        </w:rPr>
        <w:t>Conduct of Business by the Company Pending the First Merger</w:t>
      </w:r>
      <w:r>
        <w:rPr>
          <w:rFonts w:ascii="Times New Roman" w:cs="Times New Roman" w:eastAsia="Times New Roman" w:hAnsi="Times New Roman"/>
          <w:sz w:val="13"/>
          <w:szCs w:val="13"/>
          <w:color w:val="auto"/>
        </w:rPr>
        <w:t xml:space="preserve">. The Company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except as (a) may be required by Law, (b) may be consented to in advance in writing by Parent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of the Company Disclosure Letter, the Company (x) shall, and shall cause each of its Subsidiaries to use reasonable best efforts to, conduct its business and the business of its Subsidiaries in the ordinary course of business consistent with past practice, and to the extent consistent therewith, the Company shall use its reasonable best efforts to preserve in all material respects the components and assets of its current business organization and its present relationships with key customers, suppliers, employees and other Persons with which it has material business relations; and (y) shall not, and shall not permit any of its Subsidiaries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66" w:name="page67"/>
    <w:bookmarkEnd w:id="66"/>
    <w:p>
      <w:pPr>
        <w:ind w:left="640" w:right="659" w:firstLine="693"/>
        <w:spacing w:after="0" w:line="267"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 modify, waive, rescind or otherwise change the Company Charter or the Company Bylaws (or the comparable organizational or governing documents of any of its Subsidiaries);</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split, combine, reclassify, redeem, repurchase or otherwise acquire or amend the terms of any capital stock or other Equity Interests or rights, other than repurchases of shares of Company Common Stock or acquisitions of Equity Interests in connection with the exercise, vesting or settlement of Company Equity Awards that are outstanding as of the date hereof or (B) enter into any agreement with respect to the voting of Company Common Stock or other securities or the capital stock or other securities of a Subsidiary of the Company;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issue, sell, pledge, dispose, transfer, encumber or grant any shares of its or its Subsidiaries’ capital stock or other Equity Interests, or any options, restricted stock units, restricted stock awards, warrants, convertible securities or other rights of any kind to acquire any shares of its or its Subsidiaries’ capital stock or Equity Interests except for transactions among the Company and its direct or indirect wholly owned Subsidiaries or among the Company’s direct or indirect wholly owned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Company may issue shares of Company Common Stock upon the exercise, vesting or settlement of Company Equity Awards that are outstanding as of the date hereof;</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55" w:lineRule="auto"/>
        <w:tabs>
          <w:tab w:leader="none" w:pos="1515"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declare, set aside, pay or make any dividend or other distribution, payable in cash, stock, property or otherwise, with respect to the Company’s or any of its Subsidiaries’ capital stock or other Equity Interests, other than dividends paid by any wholly owned Subsidiary of the Company to the Company or any wholly owned Subsidiary of the Company;</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5" w:lineRule="auto"/>
        <w:tabs>
          <w:tab w:leader="none" w:pos="1508"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under the terms of a Company Benefit Plan, collective bargaining agreement or applicable Law, in each case, as in effect on the date hereof, (i) increase, or promise to increase, or accelerate the vesting or timing of payment of, the compensation payable or to become payable or benefits provided or to be provided to any current or former director, officer, employee or other individual service provider of the Company or any of its Subsidiaries, except (A) with respect to employees whose annual base salary/hourly wage rate is less than $200,000, for increases in salary or hourly wage rates in the ordinary course of business consistent with past practice, and (B) in connection with hiring of employees or promotions of existing employees, in either case, whose annual base salary/hourly wage rate is less than $200,000; (ii) establish, adopt, renew, enter into, materially amend or terminate any Company Benefit Plan (or any arrangement which, if in existence as of the date hereof, would constitute a Company Benefit Plan), other than changes to welfare benefits in the ordinary course of business consistent with past practice that would not materially increase their aggregate cost following the Closing; (iii) enter into, adopt, renew, materially amend or terminate any collective bargaining, works council, or other collective labor agreement with any labor union, works council or similar employee representative body, or recognize any labor union, works council or similar employee representative body as a bargaining (or similar employee) representative; or (iv) hire, terminate (other than for cause), promote, demote or change the employment status or title of any employee, individual consultant or other individual service provider who is or upon hiring or promotion will become an employee of the Company whose annual base salary is in excess of $300,000 or who is an executive officer of the Company (within the meaning of Rule 3b-7 of the Exchange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67" w:name="page68"/>
    <w:bookmarkEnd w:id="67"/>
    <w:p>
      <w:pPr>
        <w:ind w:left="640" w:right="719" w:firstLine="693"/>
        <w:spacing w:after="0" w:line="255" w:lineRule="auto"/>
        <w:tabs>
          <w:tab w:leader="none" w:pos="1494"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grant, or promise to grant, confer, award, extend the exercisability of or, except as required under the terms of a Company Benefit Plan in effect as of the date hereof, accelerate the vesting of any Company Equity Awards or any other equity-based compensation award under a Company Equity Plan, except as contemplated by the terms of this Agreement;</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(including by merger, consolidation, or acquisition of stock or assets), except in respect of any merger, consolidation, business combination among the Company and its wholly owned Subsidiaries or among the Company’s wholly owned Subsidiaries, any Equity Interest in or material amount of assets of any Person, business or division thereof, or make any loan, advance or capital contribution to, or investment in, any Person, business or division thereof (other than the Company or any wholly owned Subsidiary of the Company), or sell, lease, license or otherwise subject to a Lien other than a Permitted Lien or otherwise dispose of any material tangible properties, rights (excluding Intellectual Property) or assets of the Company or its Subsidiaries other than (i) sales of inventory in the ordinary course of business consistent with past practice, (ii) pursuant to agreements in effect prior to the execution of this Agreement, or (iii) entered into after the date hereof in the ordinary course of business with total consideration not exceeding $2,500,000;</w:t>
      </w:r>
    </w:p>
    <w:p>
      <w:pPr>
        <w:spacing w:after="0" w:line="138"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15"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(other than any nonexclusive licenses granted in the ordinary course of business consistent with past practice), dedicate to the public or subject to a Lien other than a Permitted Lien any material Company Intellectual Property, except pursuant to transactions solely among the Company and its wholly-owned Subsidiaries or solely among wholly-owned Subsidiaries of the Company;</w:t>
      </w:r>
    </w:p>
    <w:p>
      <w:pPr>
        <w:spacing w:after="0" w:line="130" w:lineRule="exact"/>
        <w:rPr>
          <w:rFonts w:ascii="Times New Roman" w:cs="Times New Roman" w:eastAsia="Times New Roman" w:hAnsi="Times New Roman"/>
          <w:sz w:val="13"/>
          <w:szCs w:val="13"/>
          <w:color w:val="auto"/>
        </w:rPr>
      </w:pPr>
    </w:p>
    <w:p>
      <w:pPr>
        <w:jc w:val="both"/>
        <w:ind w:left="640" w:right="839" w:firstLine="693"/>
        <w:spacing w:after="0" w:line="251" w:lineRule="auto"/>
        <w:tabs>
          <w:tab w:leader="none" w:pos="1487"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incur, or amend in any material respect the terms of, any indebtedness for borrowed money, or create, assume, issue, guarantee or otherwise become liable for any such indebtedness for any Person, or (ii) make any loans, advances or capital contributions to, or investments in, any other Person, except in each case (x) solely between or among the Company and/or its wholly owned Subsidiaries, (y) in the ordinary course of business, or (z) pursuant to the WF Credit Agreement (as in effect on the Closing Date);</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267" w:lineRule="auto"/>
        <w:tabs>
          <w:tab w:leader="none" w:pos="1487" w:val="left"/>
        </w:tabs>
        <w:numPr>
          <w:ilvl w:val="1"/>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employee layoffs that would require notice under the Worker Adjustment and Retraining Notification Act of 1988, as amended, or any similar foreign state or local Law;</w:t>
      </w:r>
    </w:p>
    <w:p>
      <w:pPr>
        <w:spacing w:after="0" w:line="122" w:lineRule="exact"/>
        <w:rPr>
          <w:rFonts w:ascii="Times New Roman" w:cs="Times New Roman" w:eastAsia="Times New Roman" w:hAnsi="Times New Roman"/>
          <w:sz w:val="13"/>
          <w:szCs w:val="13"/>
          <w:color w:val="auto"/>
        </w:rPr>
      </w:pPr>
    </w:p>
    <w:p>
      <w:pPr>
        <w:ind w:left="640" w:right="959" w:firstLine="693"/>
        <w:spacing w:after="0" w:line="271" w:lineRule="auto"/>
        <w:tabs>
          <w:tab w:leader="none" w:pos="1515"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modify, amend or terminate (other than in accordance with its terms) (A) any Company Permit, (B) any Company Material Contract, or (C) any Real Property Leases, except in the ordinary course of business consistent with past practice, or (ii) enter into, modify, amend, renew or terminate any Contract which has payments of $3,000,000 or more or which if so entered into, modified, amended or terminated would</w:t>
      </w:r>
    </w:p>
    <w:p>
      <w:pPr>
        <w:ind w:left="640" w:right="1119" w:hanging="3"/>
        <w:spacing w:after="0" w:line="246" w:lineRule="auto"/>
        <w:tabs>
          <w:tab w:leader="none" w:pos="819"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a Company Material Adverse Effect, (y) impair in any material respect the ability of the Company to perform its obligations under this Agreement or (z) prevent or materially delay the consummation of the transactions contemplated by this Agreement;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86" w:lineRule="auto"/>
        <w:tabs>
          <w:tab w:leader="none" w:pos="1487"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maintain, or allow to lapse, or abandon, including by failure to pay the required fees in any jurisdiction, any Company Registered IP other than in the ordinary course of business regarding Company Registered IP that is not material to the conduct of the business by the Company or its Subsidiaries, or intentionally disclose or intentionally fail to maintain any material trade secrets included in the Company Intellectual Property;</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68" w:name="page69"/>
    <w:bookmarkEnd w:id="68"/>
    <w:p>
      <w:pPr>
        <w:ind w:left="640" w:right="779" w:firstLine="693"/>
        <w:spacing w:after="0" w:line="251" w:lineRule="auto"/>
        <w:tabs>
          <w:tab w:leader="none" w:pos="155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make any material change to its methods of accounting in effect at October 31, 2024,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1059" w:firstLine="693"/>
        <w:spacing w:after="0" w:line="267" w:lineRule="auto"/>
        <w:tabs>
          <w:tab w:leader="none" w:pos="151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enter into, materially amend or terminate any transaction with any current Company Related Party other than compensation and benefits payable in the ordinary course of business and which are permitted by </w:t>
      </w:r>
      <w:r>
        <w:rPr>
          <w:rFonts w:ascii="Times New Roman" w:cs="Times New Roman" w:eastAsia="Times New Roman" w:hAnsi="Times New Roman"/>
          <w:sz w:val="13"/>
          <w:szCs w:val="13"/>
          <w:u w:val="single" w:color="auto"/>
          <w:color w:val="auto"/>
        </w:rPr>
        <w:t>Section 6.1(e)</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implement any material new policies or practices (or make any material changes to existing policies or practices) with respect to equity, interest rate, currency or commodity derivatives or hedging transactions;</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1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contemplated by this Agreement, with respect to the Company and its Subsidiaries, adopt or enter into a plan of complete or partial liquidation, dissolution, merger, consolidation, restructuring, recapitalization or other reorganization;</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commence, settle or compromise or otherwise voluntarily resolve any Action, except in the ordinary course of business and except for any Action for which the amount in controversy does not exceed $500,000 individually and $1,000,000 in the aggregate,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in each case in which the Company or its Subsidiaries is defending against an Action, in whole or in part, that any such settlement, compromise or resolution made pursuant to this </w:t>
      </w: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(a) includes a full and complete release for the Company and any of its Subsidiaries of any additional liability arising from such Action, (b) does not involve the imposition of injunctive relief against the Company or any of its Subsidiaries or the Surviving Entity following the Effective Time, and (c) does not provide for any admission of material liability by the Company or any of its Subsidiaries other than the payment to be made to settle, compromise or resolve the Action;</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w:t>
      </w:r>
    </w:p>
    <w:p>
      <w:pPr>
        <w:spacing w:after="0" w:line="122"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1"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or commit to incur any capital expenditures, or any obligations or liabilities in connection therewith that, individually or in the aggregate, are in excess of $500,000, other than any capital expenditure (or series of related capital expenditures) consistent in all material respects with the Company’s annual capital expenditure budget for periods following the date of this Agreement, as provided to Parent, or delay any material capital expenditures;</w:t>
      </w:r>
    </w:p>
    <w:p>
      <w:pPr>
        <w:spacing w:after="0" w:line="132" w:lineRule="exact"/>
        <w:rPr>
          <w:rFonts w:ascii="Times New Roman" w:cs="Times New Roman" w:eastAsia="Times New Roman" w:hAnsi="Times New Roman"/>
          <w:sz w:val="13"/>
          <w:szCs w:val="13"/>
          <w:color w:val="auto"/>
        </w:rPr>
      </w:pPr>
    </w:p>
    <w:p>
      <w:pPr>
        <w:ind w:left="1480" w:hanging="147"/>
        <w:spacing w:after="0"/>
        <w:tabs>
          <w:tab w:leader="none" w:pos="148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waive, release, grant or transfer any right of material value, other than in the ordinary course of business consistent with past practice;</w:t>
      </w:r>
    </w:p>
    <w:p>
      <w:pPr>
        <w:spacing w:after="0" w:line="165"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cancel any material insurance policies, fail to renew any material insurance policies upon expiration, or maintain insurance at less than current levels in a manner inconsistent with past practice;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69" w:name="page70"/>
    <w:bookmarkEnd w:id="69"/>
    <w:p>
      <w:pPr>
        <w:ind w:left="640" w:right="679" w:firstLine="693"/>
        <w:spacing w:after="0" w:line="255" w:lineRule="auto"/>
        <w:tabs>
          <w:tab w:leader="none" w:pos="1515"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than in the ordinary course of business and consistent with past practice, engage in any transaction with, or enter into any agreement, arrangement or understanding with any Affiliate of the Company or other Person covered by Item 404 of Regulation S-K promulgated under the Exchange Act that would be required to be disclosed under such Item 404;</w:t>
      </w:r>
    </w:p>
    <w:p>
      <w:pPr>
        <w:spacing w:after="0" w:line="130"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43"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grant any material refunds, credits, rebates or other allowances by the Company to any customer or distributor, in each case, other than in the ordinary course of business consistent with past practice;</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new line of business;</w:t>
      </w:r>
    </w:p>
    <w:p>
      <w:pPr>
        <w:spacing w:after="0" w:line="153" w:lineRule="exact"/>
        <w:rPr>
          <w:rFonts w:ascii="Times New Roman" w:cs="Times New Roman" w:eastAsia="Times New Roman" w:hAnsi="Times New Roman"/>
          <w:sz w:val="13"/>
          <w:szCs w:val="13"/>
          <w:color w:val="auto"/>
        </w:rPr>
      </w:pPr>
    </w:p>
    <w:p>
      <w:pPr>
        <w:jc w:val="both"/>
        <w:ind w:left="640" w:right="679" w:firstLine="693"/>
        <w:spacing w:after="0" w:line="269" w:lineRule="auto"/>
        <w:tabs>
          <w:tab w:leader="none" w:pos="1515"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make, change or revoke any material Tax election, (ii) settle or compromise any claim, notice, audit report or assessment in respect of material Taxes, (iii) change any annual Tax accounting period, adopt or change any material method of Tax accounting, (iv) amend any material Tax Return, (v) enter into any Tax allocation agreement, Tax sharing agreement, Tax indemnity agreement, pre-filing agreement, advance pricing agreement, cost sharing agreement or closing agreement relating to any material Tax, (vi) surrender any right to claim or make a claim for a material Tax refund, or</w:t>
      </w:r>
    </w:p>
    <w:p>
      <w:pPr>
        <w:ind w:left="880" w:hanging="243"/>
        <w:spacing w:after="0"/>
        <w:tabs>
          <w:tab w:leader="none" w:pos="88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 to any extension or waiver of the statute of limitations period applicable to any material Tax claim or assessment; or</w:t>
      </w:r>
    </w:p>
    <w:p>
      <w:pPr>
        <w:spacing w:after="0" w:line="140"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640" w:right="959" w:firstLine="309"/>
        <w:spacing w:after="0" w:line="274" w:lineRule="auto"/>
        <w:rPr>
          <w:sz w:val="20"/>
          <w:szCs w:val="20"/>
          <w:color w:val="auto"/>
        </w:rPr>
      </w:pPr>
      <w:r>
        <w:rPr>
          <w:rFonts w:ascii="Times New Roman" w:cs="Times New Roman" w:eastAsia="Times New Roman" w:hAnsi="Times New Roman"/>
          <w:sz w:val="12"/>
          <w:szCs w:val="12"/>
          <w:color w:val="auto"/>
        </w:rPr>
        <w:t xml:space="preserve">Section 6.2 </w:t>
      </w:r>
      <w:r>
        <w:rPr>
          <w:rFonts w:ascii="Times New Roman" w:cs="Times New Roman" w:eastAsia="Times New Roman" w:hAnsi="Times New Roman"/>
          <w:sz w:val="12"/>
          <w:szCs w:val="12"/>
          <w:u w:val="single" w:color="auto"/>
          <w:color w:val="auto"/>
        </w:rPr>
        <w:t>Conduct of Business by Parent Pending the Mergers</w:t>
      </w:r>
      <w:r>
        <w:rPr>
          <w:rFonts w:ascii="Times New Roman" w:cs="Times New Roman" w:eastAsia="Times New Roman" w:hAnsi="Times New Roman"/>
          <w:sz w:val="12"/>
          <w:szCs w:val="12"/>
          <w:color w:val="auto"/>
        </w:rPr>
        <w:t xml:space="preserve">. Parent covenants and agrees that, between (and including) the date of this Agreement and the earlier of the First Effective Time and the date, if any, on which this Agreement is terminated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except as</w:t>
      </w:r>
    </w:p>
    <w:p>
      <w:pPr>
        <w:spacing w:after="0" w:line="1" w:lineRule="exact"/>
        <w:rPr>
          <w:sz w:val="20"/>
          <w:szCs w:val="20"/>
          <w:color w:val="auto"/>
        </w:rPr>
      </w:pPr>
    </w:p>
    <w:p>
      <w:pPr>
        <w:ind w:left="640" w:right="679" w:hanging="3"/>
        <w:spacing w:after="0" w:line="244" w:lineRule="auto"/>
        <w:tabs>
          <w:tab w:leader="none" w:pos="812"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may be required by Law, (b) may be consented to in advance in writing by the Company (which consent will not be unreasonably withheld, conditioned or delayed), (c) may be expressly required or permitted pursuant to this Agreement or (d) set forth in the corresponding subsection of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the Parent Disclosure Letter, Parent (x) shall, and shall cause each of its Subsidiaries to use reasonable best efforts to, conduct its business and the business of its Subsidiaries in the ordinary course of business consistent with past practice, and to the extent consistent therewith, Parent shall use its reasonable best efforts to preserve in all material respects the components and assets of its and its Subsidiaries’ current business organization and its present relationships with key customers, suppliers, employees and other Persons with which it or its Subsidiaries have material business relations; and (y) shall not, and shall not permit any of its Subsidiaries to</w:t>
      </w:r>
    </w:p>
    <w:p>
      <w:pPr>
        <w:spacing w:after="0" w:line="136"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modify, waive, rescind or otherwise change the Parent Organizational Documents;</w:t>
      </w:r>
    </w:p>
    <w:p>
      <w:pPr>
        <w:spacing w:after="0" w:line="153"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split, combine, reclassify, redeem, repurchase or otherwise acquire or amend the terms of any capital stock or other Equity Interests or rights, other than repurchases of shares of Parent Shares in connection with the exercise, vesting or settlement of any equity awards of Parent;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0" w:name="page71"/>
    <w:bookmarkEnd w:id="70"/>
    <w:p>
      <w:pPr>
        <w:ind w:left="640" w:right="919" w:firstLine="693"/>
        <w:spacing w:after="0" w:line="267" w:lineRule="auto"/>
        <w:tabs>
          <w:tab w:leader="none" w:pos="150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shall not declare, authorize, set aside or pay any dividend or other distribution payable in cash, stock or property or otherwise with respect to Parent’s capital stock;</w:t>
      </w:r>
    </w:p>
    <w:p>
      <w:pPr>
        <w:spacing w:after="0" w:line="122" w:lineRule="exact"/>
        <w:rPr>
          <w:rFonts w:ascii="Times New Roman" w:cs="Times New Roman" w:eastAsia="Times New Roman" w:hAnsi="Times New Roman"/>
          <w:sz w:val="13"/>
          <w:szCs w:val="13"/>
          <w:color w:val="auto"/>
        </w:rPr>
      </w:pPr>
    </w:p>
    <w:p>
      <w:pPr>
        <w:ind w:left="640" w:right="759" w:firstLine="693"/>
        <w:spacing w:after="0" w:line="267" w:lineRule="auto"/>
        <w:tabs>
          <w:tab w:leader="none" w:pos="1515"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not adopt or enter into a plan or agreement of complete or partial liquidation, dissolution, merger, consolidation, restructuring or recapitalization of Parent;</w:t>
      </w:r>
    </w:p>
    <w:p>
      <w:pPr>
        <w:spacing w:after="0" w:line="122" w:lineRule="exact"/>
        <w:rPr>
          <w:rFonts w:ascii="Times New Roman" w:cs="Times New Roman" w:eastAsia="Times New Roman" w:hAnsi="Times New Roman"/>
          <w:sz w:val="13"/>
          <w:szCs w:val="13"/>
          <w:color w:val="auto"/>
        </w:rPr>
      </w:pPr>
    </w:p>
    <w:p>
      <w:pPr>
        <w:ind w:left="640" w:right="779" w:firstLine="693"/>
        <w:spacing w:after="0" w:line="251" w:lineRule="auto"/>
        <w:tabs>
          <w:tab w:leader="none" w:pos="1508"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material change to its methods of accounting in effect at October 31, 2025, except (i) as required by GAAP (or any interpretation thereof), Regulation S-X of the Exchange Act or a Governmental Authority (including the Financial Accounting Standards Board or any similar organization), (ii) to permit the audit of the Company Financial Statements in compliance with GAAP or (iii) as required by a change in applicable Law;</w:t>
      </w:r>
    </w:p>
    <w:p>
      <w:pPr>
        <w:spacing w:after="0" w:line="132" w:lineRule="exact"/>
        <w:rPr>
          <w:rFonts w:ascii="Times New Roman" w:cs="Times New Roman" w:eastAsia="Times New Roman" w:hAnsi="Times New Roman"/>
          <w:sz w:val="13"/>
          <w:szCs w:val="13"/>
          <w:color w:val="auto"/>
        </w:rPr>
      </w:pPr>
    </w:p>
    <w:p>
      <w:pPr>
        <w:ind w:left="640" w:right="839" w:firstLine="693"/>
        <w:spacing w:after="0" w:line="267" w:lineRule="auto"/>
        <w:tabs>
          <w:tab w:leader="none" w:pos="149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take any action that would reasonably be expected to, or is intended to, materially delay, impede or prevent the consummation of the Mergers and the other transactions contemplated by this Agreement on or before the Termination Date;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or permit any of its Subsidiaries to agree, in writing or otherwise, to resolve or enter into any agreement to do any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foregoing.</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6.3 </w:t>
      </w:r>
      <w:r>
        <w:rPr>
          <w:rFonts w:ascii="Times New Roman" w:cs="Times New Roman" w:eastAsia="Times New Roman" w:hAnsi="Times New Roman"/>
          <w:sz w:val="13"/>
          <w:szCs w:val="13"/>
          <w:u w:val="single" w:color="auto"/>
          <w:color w:val="auto"/>
        </w:rPr>
        <w:t>Preparation of the Joint Proxy Statement/Prospectus; Stockholders’ Meetings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44" w:lineRule="auto"/>
        <w:tabs>
          <w:tab w:leader="none" w:pos="1508"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and the Company shall cooperate in preparing, and as promptly as reasonably practicable (and shall use their respective reasonable best efforts to, unless agreed otherwise, file the Joint Proxy Statement/Prospectus and the Form S-4 within seventy-five (75) days) after the date hereof. The Joint Proxy Statement/Prospectus will be included in and will constitute a part of the Form S-4. Subject to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and the other applicable terms of this Agreement, the Joint Proxy Statement/Prospectus shall reflect the Company Recommendation and the Parent Recommendation and also include (and the Company represents that it will have obtained at the relevant time all necessary consents of Company Financial Advisor to permit the Company to include in the Joint Proxy Statement/Prospectus), in its entirety, the Fairness Opinion, together with a summary thereof. Each of the parties shall use reasonable best efforts, and the Company shall cooperate (including by causing its Subsidiaries, Representatives and controlled Affiliates to cooperate) with Parent, to have the Form S-4 declared effective by the SEC or otherwise become effective pursuant to the Securities Act pursuant to SEC guidance, and to keep the Form S-4 effective through the Closing in order to consummate the Mergers and the transactions contemplated hereby. Parent shall also use its reasonable best efforts to take any action required to be taken under any applicable state securities Laws in connection with the issuance and reservation of Parent Shares in the First Merger, and the Company shall furnish all information concerning the Company, its Subsidiaries and any of their respective stockholders, members or other holders of a beneficial interest in their Equity Interests, as may be reasonably requested in connection with any such action. To the extent not prohibited by Law, (i) each of Parent and the Company agrees to furnish to the other party all information concerning itself, its Subsidiaries, officers, directors, managers, stockholders, and other equityholders and information regarding such other matters as may be reasonably necessary or advisable or as may be reasonably requested in connection with the Joint Proxy Statement/Prospectus, Form S-4, Form 8-K pursuant to the Exchange Act in connection with the transactions contemplated by this Agreement, or any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1" w:name="page72"/>
    <w:bookmarkEnd w:id="71"/>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statement, filing, notice or application made by or on behalf of Parent, the Company or their respective Subsidiaries to the SEC, NASDAQ, or</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pursuant to any state securities or Blue Sky laws, in connection with the Mergers and the other transactions contemplated hereby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Documents</w:t>
      </w:r>
      <w:r>
        <w:rPr>
          <w:rFonts w:ascii="Times New Roman" w:cs="Times New Roman" w:eastAsia="Times New Roman" w:hAnsi="Times New Roman"/>
          <w:sz w:val="12"/>
          <w:szCs w:val="12"/>
          <w:color w:val="auto"/>
        </w:rPr>
        <w:t>”), (ii) each of Parent or the Company shall, as promptly as practicable after receipt thereof, provide the other party with copies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any written comments from the SEC or advise of any oral comments or any request from the SEC for amendments or supplements to the Joint Proxy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Statement/Prospectus or the Form S-4, and (iii) Parent and the Company shall cooperate and provide each other with a reasonable opportunity to review</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and comment on any amendment or supplement to the Joint Proxy Statement/Prospectus and the Form S-4 or any Filing Document prior to filing such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the SEC, NASDAQ, or pursuant to any state securities or Blue Sky laws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without limiting the foregoing, no amendment or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supplement to the Joint Proxy Statement/Prospectus shall be made without the approval of both the Company and Parent, which approval shall not be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unreasonably withheld, conditioned or delayed), and shall give reasonable and good faith consideration to any comments thereon made by the other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party or its counsel.</w:t>
      </w:r>
    </w:p>
    <w:p>
      <w:pPr>
        <w:spacing w:after="0" w:line="141" w:lineRule="exact"/>
        <w:rPr>
          <w:sz w:val="20"/>
          <w:szCs w:val="20"/>
          <w:color w:val="auto"/>
        </w:rPr>
      </w:pPr>
    </w:p>
    <w:p>
      <w:pPr>
        <w:ind w:left="640" w:right="699" w:firstLine="693"/>
        <w:spacing w:after="0" w:line="269" w:lineRule="auto"/>
        <w:tabs>
          <w:tab w:leader="none" w:pos="1515"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Parent and the Company shall cause the Joint Proxy Statement/Prospectus to be mailed to their respective stockholders as of the record date established for their respective Stockholders’ Meetings as promptly as practicable after the Form S-4 is declared effective under the Securities Act. If, at any time prior to each such Stockholders’ Meeting, any information relating to the Company, Parent, Merger Sub I, Merger Sub II or any of their respective Affiliates, officers or directors is discovered by the Company, Parent, Merger Sub I or Merger Sub II which should be set forth in an amendment or supplement to the Joint Proxy Statement/Prospectus or the Form S-4, so that the Joint Proxy Statement/Prospectus or the Form S-4 (or any amendment or supplement thereto) shall not contain an untrue statement of a material fact or omit to state any material fact required to be stated therein or necessary in order to make the statements therein, in the light of the circumstances under which they are made, not misleading, the party that discovers such information shall promptly notify the other parties thereof, and an appropriate amendment or supplement containing such information shall be filed with the SEC and, to the extent required by applicable Law, disseminated to the stockholders of Parent and the Company, respectively.</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68" w:lineRule="auto"/>
        <w:tabs>
          <w:tab w:leader="none" w:pos="1508"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execution of this Agreement, the Company will conduct a broker search in anticipation of the Company Stockholders’ Meeting in compliance with SEC Rule 14a-13, assuming the earliest record date practicable and, from time to time, conduct additional broker searches as reasonably requested by Parent or as reasonably necessary to comply with the following sentence. The Company shall duly take all lawful action to call, give notice of, convene and hold a meeting of its stockholders, for the purpose of obtaining the Requisite Company Stockholder Approval and the Company Stockholder Advisory Vote (the “</w:t>
      </w:r>
      <w:r>
        <w:rPr>
          <w:rFonts w:ascii="Times New Roman" w:cs="Times New Roman" w:eastAsia="Times New Roman" w:hAnsi="Times New Roman"/>
          <w:sz w:val="12"/>
          <w:szCs w:val="12"/>
          <w:b w:val="1"/>
          <w:bCs w:val="1"/>
          <w:color w:val="auto"/>
        </w:rPr>
        <w:t>Company Stockholders’ Meeting</w:t>
      </w:r>
      <w:r>
        <w:rPr>
          <w:rFonts w:ascii="Times New Roman" w:cs="Times New Roman" w:eastAsia="Times New Roman" w:hAnsi="Times New Roman"/>
          <w:sz w:val="12"/>
          <w:szCs w:val="12"/>
          <w:color w:val="auto"/>
        </w:rPr>
        <w:t xml:space="preserve">”) as soon as practicable following the declaration of effectiveness of the Form S-4 by the SEC (and in any event within forty-five (45) calendar days after such declaration). The record date for the Company Stockholders’ Meeting shall be determined by the Company with prior consultation with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not change the date of (or the record date for), postpone or adjourn the Company Stockholders’ Meeting without the consent of Parent (which consent shall not be unreasonably withheld, delayed or conditioned);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Company shall (i) be entitled to postpone or adjourn the Company Stockholders’ Meeting if the Company or Parent files an amendment or supplement to the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-313690</wp:posOffset>
            </wp:positionV>
            <wp:extent cx="2032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2" w:name="page73"/>
    <w:bookmarkEnd w:id="72"/>
    <w:p>
      <w:pPr>
        <w:ind w:left="640" w:right="67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Statement/Prospectus or Form S-4 in accordance with </w:t>
      </w:r>
      <w:r>
        <w:rPr>
          <w:rFonts w:ascii="Times New Roman" w:cs="Times New Roman" w:eastAsia="Times New Roman" w:hAnsi="Times New Roman"/>
          <w:sz w:val="12"/>
          <w:szCs w:val="12"/>
          <w:u w:val="single" w:color="auto"/>
          <w:color w:val="auto"/>
        </w:rPr>
        <w:t>Section 6.3(b)</w:t>
      </w:r>
      <w:r>
        <w:rPr>
          <w:rFonts w:ascii="Times New Roman" w:cs="Times New Roman" w:eastAsia="Times New Roman" w:hAnsi="Times New Roman"/>
          <w:sz w:val="12"/>
          <w:szCs w:val="12"/>
          <w:color w:val="auto"/>
        </w:rPr>
        <w:t>, and the Company Board determines in good faith after consultation with outside counsel that the failure to postpone or adjourn the Company Stockholders Meeting in response to such filing would be inconsistent with applicable Law,</w:t>
      </w:r>
    </w:p>
    <w:p>
      <w:pPr>
        <w:spacing w:after="0" w:line="1" w:lineRule="exact"/>
        <w:rPr>
          <w:sz w:val="20"/>
          <w:szCs w:val="20"/>
          <w:color w:val="auto"/>
        </w:rPr>
      </w:pPr>
    </w:p>
    <w:p>
      <w:pPr>
        <w:ind w:left="640" w:right="699" w:hanging="3"/>
        <w:spacing w:after="0" w:line="243" w:lineRule="auto"/>
        <w:tabs>
          <w:tab w:leader="none" w:pos="826"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 entitled to postpone or adjourn the Company Stockholders’ Meeting if Parent has postponed or adjourned the Parent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Parent Stockholders’ Meeting is held and (iii) postpone or adjourn the Company Stockholders’ Meeting on one or more occasions if so requested by Parent if, on the date for which the Company Stockholders’ Meeting is then scheduled, the Company has not received proxies representing a sufficient number of shares of Company Common Stock to obtain the Requisite Company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Company Stockholders’ Meeting shall not be postponed or adjourned for more than twenty (20) Business Days in total from the originally scheduled date of the Company Stockholders’ Meeting without the prior written consent of Parent, which consent shall not be unreasonably withheld, conditioned or delayed. Nothing contained in this Agreement shall be deemed to relieve the Company of its obligations to submit this Agreement to its stockholders for a vote on the adoption thereof.</w:t>
      </w:r>
    </w:p>
    <w:p>
      <w:pPr>
        <w:spacing w:after="0" w:line="141"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15"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Board shall, except in the case of an Adverse Recommendation Change made in accordance with the terms and conditions of this Agreement, recommend the adoption of this Agreement by the Company stockholders to the effect as set forth in </w:t>
      </w:r>
      <w:r>
        <w:rPr>
          <w:rFonts w:ascii="Times New Roman" w:cs="Times New Roman" w:eastAsia="Times New Roman" w:hAnsi="Times New Roman"/>
          <w:sz w:val="12"/>
          <w:szCs w:val="12"/>
          <w:u w:val="single" w:color="auto"/>
          <w:color w:val="auto"/>
        </w:rPr>
        <w:t>Section 4.3(b)</w:t>
      </w:r>
      <w:r>
        <w:rPr>
          <w:rFonts w:ascii="Times New Roman" w:cs="Times New Roman" w:eastAsia="Times New Roman" w:hAnsi="Times New Roman"/>
          <w:sz w:val="12"/>
          <w:szCs w:val="12"/>
          <w:color w:val="auto"/>
        </w:rPr>
        <w:t xml:space="preserve">, and, subject to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shall use reasonable best efforts to solicit the Requisite Company Stockholder Approval. Notwithstanding any Adverse Recommendation Change in compliance with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this Agreement shall be submitted to the Company’s stockholders at the Company Stockholders’ Meeting for a vote on the approval and adoption thereof, and nothing contained herein shall be deemed to relieve the Company of such obligation. Without limiting the generality of the foregoing, unless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agrees that its obligations pursuant to this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 shall not be affected by the commencement, public proposal, public disclosure or communication to the Company or any other person of any Competing Proposal or the making of any Adverse Recommendation Change. The Company shall, upon the reasonable request of Parent, during the last seven (7) Business Days prior to the date of the Company Stockholders’ Meeting, request its proxy solicitor to advise Parent at least one (1) time each Business Day as to the aggregate tally of proxies received by the Company with respect to the Requisite Company Stockholder Approval. Without the prior written consent of Parent (which shall not be unreasonably withheld, delayed or conditioned), and except as required by applicable Law or the rules and regulations of NASDAQ the adoption of this Agreement, the Company Stockholder Advisory Vote and the transactions contemplated hereby (including the Mergers) shall be the only matter (other than procedural matters) that the Company shall propose to be acted on by the stockholders of the Company at the Company Stockholders’ Meeting.</w:t>
      </w:r>
    </w:p>
    <w:p>
      <w:pPr>
        <w:spacing w:after="0" w:line="278"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08" w:val="left"/>
        </w:tabs>
        <w:numPr>
          <w:ilvl w:val="1"/>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Promptly after the execution of this Agreement, Parent will conduct a broker search in anticipation of the Parent Stockholders’ Meeting in compliance with SEC Rule 14a-13, assuming the earliest record date practicable and, from time to time, conduct additional broker searches as reasonably requested by the Company or as reasonably necessary to comply with the following sentence. Parent shall duly take all lawful action to call, give notice of, convene and hold a meeting of its stockholders, for the purpose of obtaining the Requisite Parent Stockholder Approval (the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Stockholders’ Meeting</w:t>
      </w:r>
      <w:r>
        <w:rPr>
          <w:rFonts w:ascii="Times New Roman" w:cs="Times New Roman" w:eastAsia="Times New Roman" w:hAnsi="Times New Roman"/>
          <w:sz w:val="13"/>
          <w:szCs w:val="13"/>
          <w:color w:val="auto"/>
        </w:rPr>
        <w:t>” and together with the Company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3" w:name="page74"/>
    <w:bookmarkEnd w:id="7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Stockholders’ Meeting, the “</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as soon as practicable following the declaration of effectiveness of the Form S-4 by the SEC (and in any event within forty-five (45) calendar days after such declaration). The record date for the Parent Stockholders’ Meeting shall be determined by Parent with prior consultation with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shall not change the date of (or the record date for), postpone or adjourn the Parent Stockholders’ Meeting without the consent of the Company (which consent shall not be unreasonably withheld, delayed or conditioned);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Parent shall (i) be entitled to postpone or adjourn the Parent Stockholders’ Meeting if the Company or Parent files an amendment or supplement to the Joint Proxy Statement/Prospectus or Form S-4 in accordance with </w:t>
      </w:r>
      <w:r>
        <w:rPr>
          <w:rFonts w:ascii="Times New Roman" w:cs="Times New Roman" w:eastAsia="Times New Roman" w:hAnsi="Times New Roman"/>
          <w:sz w:val="13"/>
          <w:szCs w:val="13"/>
          <w:u w:val="single" w:color="auto"/>
          <w:color w:val="auto"/>
        </w:rPr>
        <w:t>Section 6.3(b)</w:t>
      </w:r>
      <w:r>
        <w:rPr>
          <w:rFonts w:ascii="Times New Roman" w:cs="Times New Roman" w:eastAsia="Times New Roman" w:hAnsi="Times New Roman"/>
          <w:sz w:val="13"/>
          <w:szCs w:val="13"/>
          <w:color w:val="auto"/>
        </w:rPr>
        <w:t xml:space="preserve">, and the Parent Board determines in good faith after consultation with outside counsel that the failure to postpone or adjourn the Parent Stockholders’ Meeting in response to such filing would be inconsistent with applicable Law, (ii) be entitled to postpone or adjourn the Parent Stockholders’ Meeting if the Company has postponed or adjourned the Company Stockholders’ Meeting in accordance with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until the date on which the Company Stockholders’ Meeting is held and (iii) postpone or adjourn the Parent Stockholders’ Meeting on one or more occasions if so requested by the Company if, on the date for which the Parent Stockholders’ Meeting is then scheduled, Parent has not received proxies representing a sufficient number of shares of Parent Shares to obtain the Requisite Parent Stockholder Approval, whether or not a quorum is present;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in the case of clauses (i) or (ii), the Parent Stockholders’ Meeting shall not be postponed or adjourned for more than twenty (20) Business Days in total from the originally scheduled date of the Parent Stockholders’ Meeting without the prior written consent of the Company, which consent shall not be unreasonably withheld, conditioned or delayed. Nothing contained in this Agreement shall be deemed to relieve Parent of its obligations to submit this Parent Share Issuance to its stockholders for a vote on the adoption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-1269365</wp:posOffset>
            </wp:positionV>
            <wp:extent cx="2032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8" w:lineRule="exact"/>
        <w:rPr>
          <w:sz w:val="20"/>
          <w:szCs w:val="20"/>
          <w:color w:val="auto"/>
        </w:rPr>
      </w:pPr>
    </w:p>
    <w:p>
      <w:pPr>
        <w:ind w:left="640" w:right="639" w:firstLine="693"/>
        <w:spacing w:after="0" w:line="245" w:lineRule="auto"/>
        <w:tabs>
          <w:tab w:leader="none" w:pos="1494"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Parent Board shall, except in the case of a Parent Adverse Recommendation Change made in accordance with the terms and conditions of this Agreement, recommend the approval of the Parent Share Issuance by Parent’s stockholders, and, subject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shall use reasonable best efforts to solicit the Requisite Parent Stockholder Approval. Notwithstanding any Parent Adverse Recommendation Change in compliance with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the Parent Share Issuance shall be submitted to Parent stockholders at the Parent Stockholders’ Meeting for a vote on the approval and adoption thereof, and nothing contained herein shall be deemed to relieve Parent of such obligation. Without limiting the generality of the foregoing, unless this Agreement is terminated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Parent agrees that its obligations pursuant to this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shall not be affected by the commencement, public proposal, public disclosure or communication to Parent or any other person any of the facts related to any Parent Intervening Event or the making of any Parent Adverse Recommendation Change. Parent shall, upon the reasonable request of the Company, during the last seven (7) Business Days prior to the date of the Parent Stockholders’ Meeting, request its proxy solicitor to advise the Company at least once each Business Day as to the aggregate tally of proxies received by Parent with respect to the Requisite Parent Stockholder Approval. Without the prior written consent of the Company (which shall not be unreasonably withheld, delayed or conditioned), and except as required by applicable Law or the rules and regulations of NASDAQ, the Parent Share Issuance shall be the only matter (other than procedural matters) that Parent shall propose to be acted on by the stockholders of Parent at the Parent Stockholders’ Meeting.</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29" w:right="1440" w:bottom="1440" w:gutter="0" w:footer="0" w:header="0"/>
        </w:sectPr>
      </w:pPr>
    </w:p>
    <w:bookmarkStart w:id="74" w:name="page75"/>
    <w:bookmarkEnd w:id="7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6.4 </w:t>
      </w:r>
      <w:r>
        <w:rPr>
          <w:rFonts w:ascii="Times New Roman" w:cs="Times New Roman" w:eastAsia="Times New Roman" w:hAnsi="Times New Roman"/>
          <w:sz w:val="13"/>
          <w:szCs w:val="13"/>
          <w:u w:val="single" w:color="auto"/>
          <w:color w:val="auto"/>
        </w:rPr>
        <w:t>Appropriate Action; Consents; Filings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44" w:lineRule="auto"/>
        <w:tabs>
          <w:tab w:leader="none" w:pos="1508"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accordance with the terms and subject to the conditions of this Agreement (including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the parties hereto will use their respective reasonable best efforts to consummate and make effective the transactions contemplated hereby and to cause the conditions to the Mergers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to be satisfied as expeditiously as practicable (and in any event at least five (5) Business Days prior to the Termination Date), including using reasonable best efforts to accomplish the following: (i) the obtaining of all necessary actions or non-actions, Consents and approvals from Governmental Authorities necessary in connection with the consummation of the transactions contemplated by this Agreement, including the Mergers, and the making of all necessary registrations and filings (including filings with Governmental Authorities, if any) and the taking of all reasonable steps as may be necessary to obtain an approval from, or to avoid any Action by, any Governmental Authority necessary in connection with the consummation of the transactions contemplated by this Agreement, including the Mergers, (ii) the obtaining of all other necessary material consents, approvals or waivers from Third Parties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be required to make or agree to make any payment or accept any conditions or obligations with respect thereto), and (iii) the execution and delivery of any additional instruments reasonably necessary to consummate the Mergers and any other transactions to be performed or consummated by such party in accordance with the terms of this Agreement and to carry out fully the purposes of this Agreement; </w:t>
      </w:r>
      <w:r>
        <w:rPr>
          <w:rFonts w:ascii="Times New Roman" w:cs="Times New Roman" w:eastAsia="Times New Roman" w:hAnsi="Times New Roman"/>
          <w:sz w:val="13"/>
          <w:szCs w:val="13"/>
          <w:u w:val="single" w:color="auto"/>
          <w:color w:val="auto"/>
        </w:rPr>
        <w:t>provided, however,</w:t>
      </w:r>
      <w:r>
        <w:rPr>
          <w:rFonts w:ascii="Times New Roman" w:cs="Times New Roman" w:eastAsia="Times New Roman" w:hAnsi="Times New Roman"/>
          <w:sz w:val="13"/>
          <w:szCs w:val="13"/>
          <w:color w:val="auto"/>
        </w:rPr>
        <w:t xml:space="preserve"> that the parties shall not be required to contest or defend against (i) any action or proceeding that is instituted to challenge the transactions as violating any Antitrust Law or (ii) any decree, order, judgment, or injunction (whether temporary, preliminary, or permanent) entered, enforced, or attempted to be entered or enforced by any Governmental Authority that would make the transactions illegal or otherwise delay or prohibit the consummation of the transactions. Each of the parties hereto shall (A) promptly (and in no event later than twenty (20) Business Days following the date hereof) make its filings under the HSR Act, and thereafter make any other applications and filings required under the Antitrust Laws of the jurisdictions set forth on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of the Parent Disclosure Letter with respect to the transactions contemplated hereby, including the Mergers, (B) comply at the earliest reasonable practicable date with any request under the HSR Act for additional information, documents or other materials (including responding to any “second request”) received by such party from the U.S. Federal Trade Commission, the Antitrust Division of the U.S. Department of Justice or by any other Governmental Authority under any Antitrust Laws in respect of any such filings with respect to the transactions contemplated hereby, including the Mergers and (C) act in good faith and reasonably cooperate with the other party in connection with any such filings and in connection with resolving any investigation or other inquiry of such agency or other Governmental Authority under any Antitrust Laws. In taking the foregoing actions, each of the Company and Parent shall act reasonably and as promptly as practicable.</w:t>
      </w:r>
    </w:p>
    <w:p>
      <w:pPr>
        <w:spacing w:after="0" w:line="143" w:lineRule="exact"/>
        <w:rPr>
          <w:rFonts w:ascii="Times New Roman" w:cs="Times New Roman" w:eastAsia="Times New Roman" w:hAnsi="Times New Roman"/>
          <w:sz w:val="13"/>
          <w:szCs w:val="13"/>
          <w:color w:val="auto"/>
        </w:rPr>
      </w:pPr>
    </w:p>
    <w:p>
      <w:pPr>
        <w:ind w:left="640" w:right="719" w:firstLine="693"/>
        <w:spacing w:after="0" w:line="247" w:lineRule="auto"/>
        <w:tabs>
          <w:tab w:leader="none" w:pos="1515"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in this Agreement, Parent and its Affiliates shall not be required to effect or undertake (or be required to agree or consent to), and, without the prior written consent of Parent, the Company, its Subsidiaries and their respective Affiliates shall not effect to undertake (or be required to agree or consent to) any of the following actions: (i) selling, divesting, licensing or otherwise disposing of, or holding separate and agreeing to sell, divest, license or otherwise dispose of, any assets of the Company, Parent, Merger Sub I, Merger Sub II or their respective Affiliates, (ii) terminating, amending or assigning existing relationships and contractual rights and obligations, (iii) requiring Parent, Merger Sub I, Merger Sub II, the Company or any of their respective Affiliates to grant any right or commercial or other accommodation to, or enter into any material commercial contractual or other commercial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5" w:name="page76"/>
    <w:bookmarkEnd w:id="75"/>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relationship with, any Third Party, (iv) imposing limitations on Parent, Merger Sub I, Merger Sub II, the Company or any of their respective Affiliates with respect to how they own, retain, conduct or operate all or any portion of their respective businesses or assets, or (v) otherwise offering, proposing, negotiating, agreeing to, committing to or effecting any other remedy, condition, commitment or undertaking of any kind, in each case, if such action would reasonably be expected to be, individually or in the aggregate, material to Parent, the Surviving Company, and their Subsidiaries, taken as a whole.</w:t>
      </w:r>
    </w:p>
    <w:p>
      <w:pPr>
        <w:spacing w:after="0" w:line="134" w:lineRule="exact"/>
        <w:rPr>
          <w:sz w:val="20"/>
          <w:szCs w:val="20"/>
          <w:color w:val="auto"/>
        </w:rPr>
      </w:pPr>
    </w:p>
    <w:p>
      <w:pPr>
        <w:ind w:left="640" w:right="639" w:firstLine="693"/>
        <w:spacing w:after="0" w:line="267" w:lineRule="auto"/>
        <w:tabs>
          <w:tab w:leader="none" w:pos="1508"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contained herein but subject to its compliance with the other applicable terms of </w:t>
      </w:r>
      <w:r>
        <w:rPr>
          <w:rFonts w:ascii="Times New Roman" w:cs="Times New Roman" w:eastAsia="Times New Roman" w:hAnsi="Times New Roman"/>
          <w:sz w:val="12"/>
          <w:szCs w:val="12"/>
          <w:u w:val="single" w:color="auto"/>
          <w:color w:val="auto"/>
        </w:rPr>
        <w:t>Section 6.4(c)</w:t>
      </w:r>
      <w:r>
        <w:rPr>
          <w:rFonts w:ascii="Times New Roman" w:cs="Times New Roman" w:eastAsia="Times New Roman" w:hAnsi="Times New Roman"/>
          <w:sz w:val="12"/>
          <w:szCs w:val="12"/>
          <w:color w:val="auto"/>
        </w:rPr>
        <w:t>, Parent shall lead all communications and strategy for dealing with any Governmental Authority in connection with any review, challenge or Action under Antitrust Laws. Each of the parties hereto will furnish to the other such necessary information and reasonable assistance as the other may reasonably request, and consult in advance and consider in good faith the views of the other party, in connection with the preparation of any required governmental filings or submissions and any dealings with, and will cooperate in responding to any inquiry from, a Governmental Authority, including (i) promptly informing the other party in writing of such filing, submission or inquiry and providing a copy of any written filing, submission or inquiry, (ii) permit the other party to review in draft any proposed communication to be submitted by it to any Governmental Authority with reasonable time and opportunity to comment, and consult with each other in advance of any in person or telephonic meeting or conference with any Governmental Authority, (iii) giving the other party the opportunity to attend and participate in any substantive meetings or discussions with any Governmental Authority, to the extent not prohibited by such Governmental Authority and (iv) supplying each other with copies of all material correspondence, filings or communications between either party and any Governmental Authority with respect to this Agreement. The Company and Parent, in their reasonable determination in consultation with outside counsel, may designate any competitively sensitive material as “Outside Counsel Only Material” such that such materials and the information contained therein shall be given only to the outside counsel of the recipient and will not be disclosed to employees, officers or directors of the recipient unless express permission is obtained in advance from the source of the materials or its legal counsel.</w:t>
      </w:r>
    </w:p>
    <w:p>
      <w:pPr>
        <w:spacing w:after="0" w:line="125" w:lineRule="exact"/>
        <w:rPr>
          <w:rFonts w:ascii="Times New Roman" w:cs="Times New Roman" w:eastAsia="Times New Roman" w:hAnsi="Times New Roman"/>
          <w:sz w:val="12"/>
          <w:szCs w:val="12"/>
          <w:color w:val="auto"/>
        </w:rPr>
      </w:pPr>
    </w:p>
    <w:p>
      <w:pPr>
        <w:ind w:left="640" w:right="659" w:firstLine="693"/>
        <w:spacing w:after="0" w:line="249" w:lineRule="auto"/>
        <w:tabs>
          <w:tab w:leader="none" w:pos="1515"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Between the date of this Agreement and the First Effective Time (or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Parent shall not (and Parent shall cause its Subsidiaries not to) enter into, agree to, commit to or consummate any agreements, understandings or arrangements for any acquisition (via stock purchase, merger, consolidation, purchase of assets or otherwise) of any Person, if such acquisition would reasonably be expected to result in a material delay in obtaining, or the failure to obtain, any regulatory approvals required in connection with the transactions contemplated hereby (including the Mergers).</w:t>
      </w:r>
    </w:p>
    <w:p>
      <w:pPr>
        <w:spacing w:after="0" w:line="13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6.5 </w:t>
      </w:r>
      <w:r>
        <w:rPr>
          <w:rFonts w:ascii="Times New Roman" w:cs="Times New Roman" w:eastAsia="Times New Roman" w:hAnsi="Times New Roman"/>
          <w:sz w:val="13"/>
          <w:szCs w:val="13"/>
          <w:u w:val="single" w:color="auto"/>
          <w:color w:val="auto"/>
        </w:rPr>
        <w:t>Access to Information; Confidentiality</w:t>
      </w:r>
      <w:r>
        <w:rPr>
          <w:rFonts w:ascii="Times New Roman" w:cs="Times New Roman" w:eastAsia="Times New Roman" w:hAnsi="Times New Roman"/>
          <w:sz w:val="13"/>
          <w:szCs w:val="13"/>
          <w:color w:val="auto"/>
        </w:rPr>
        <w:t xml:space="preserve">. Upon reasonable notice, the Company shall (and shall cause each of its Subsidiaries to) afford to Parent and its Representatives reasonable access in a manner that does not unreasonably interfere with the operations of the business of the Company and its Subsidiaries, during normal business hours and upon reasonable advance notice throughout the period commencing on the date of this Agreement until the earlier of the First Effective Time and the termination of this Agreement in accordance with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to the properties, offices and other facilities and books and records, and personnel of the Company and its Subsidiaries and, during such period, shall (and shall cause each of its Subsidiaries to)</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76" w:name="page77"/>
    <w:bookmarkEnd w:id="76"/>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furnish promptly to Parent and its Representatives all information (to the extent not publicly available) concerning the business, properties and personnel of the Company and its Subsidiaries as may reasonably be requested;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nothing herein shall require the Company or any of its Subsidiaries to disclose any information to Parent, Merger Sub I or Merger Sub II if such disclosure would reasonably be expected to violate applicable Law or the provisions of any agreement to which the Company or any of its Subsidiaries is a party or violate any attorney-client or other legal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the Company and its Subsidiaries shall use reasonable best efforts to provide as much information as reasonably requested without violating such applicable Law or privilege;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to the extent practicable, the Company will provide Parent with copies of its weekly gross sales reports for fresh avocados at substantially the same time that they are provided to management of the Company;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that, notwithstanding the foregoing, the Company shall not be required to provide Parent any competitively sensitive information as determined by the Company in its sole discretion. The Confidentiality Agreement shall apply with respect to information furnished by the Company, its Subsidiaries and the Company’s officers, employees and other Representatives hereunder and, if this Agreement is terminated prior to the First Effective Time, the Confidentiality Agreement shall remain in full force and effect in accordance with its terms prior to giving effect to the execution of this Agreement.</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6.6 </w:t>
      </w:r>
      <w:r>
        <w:rPr>
          <w:rFonts w:ascii="Times New Roman" w:cs="Times New Roman" w:eastAsia="Times New Roman" w:hAnsi="Times New Roman"/>
          <w:sz w:val="13"/>
          <w:szCs w:val="13"/>
          <w:u w:val="single" w:color="auto"/>
          <w:color w:val="auto"/>
        </w:rPr>
        <w:t>Company Non-Solicitation; Company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6" w:lineRule="auto"/>
        <w:tabs>
          <w:tab w:leader="none" w:pos="1508"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date, if any, on which this Agreement is terminated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and shall cause its Subsidiaries and each of its and their respective directors and officers to, and shall cause its and its Subsidiaries’ other Representatives to, immediately cease and cause to be terminated any and all existing solicitation of, or discussions, communications or negotiations with, any Third Party relating to any Competing Proposal or any inquiry or request that would reasonably be expected to lead to a Competing Proposal, and the Company shall promptly demand (and in any event, within forty-eight (48) hours after the execution of this Agreement) that each Third Party that has previously executed a confidentiality agreement for the purpose of evaluating a potential Competing Proposal promptly destroy all nonpublic information previously furnished or made available to such Third Party or any of its Representatives by or on behalf of the Company or its Representatives in accordance with the terms of such confidentiality agreement and shall remove all access to any data room or electronic materials set up in response to or in connection with any actual or contemplated Competing Proposal from such Third Parties. Except as otherwise provided in </w:t>
      </w:r>
      <w:r>
        <w:rPr>
          <w:rFonts w:ascii="Times New Roman" w:cs="Times New Roman" w:eastAsia="Times New Roman" w:hAnsi="Times New Roman"/>
          <w:sz w:val="12"/>
          <w:szCs w:val="12"/>
          <w:u w:val="single" w:color="auto"/>
          <w:color w:val="auto"/>
        </w:rPr>
        <w:t>Section 6.6(c)</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from the date of this Agreement until the earlier of the First Effective Time and the termination of this Agreement in accordance with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the Company shall not, and shall cause its Subsidiaries and each of its and their respective directors and officers not to, and shall cause its and its Subsidiaries’ other Representatives not to, directly or indirectly, (i) initiate, seek, facilitate, solicit or knowingly encourage (including by way of furnishing information or assistance of any kind) the making of any Competing Proposal or take any other action designed or intended to lead to, or that would reasonably be expected to lead to any inquiry with respect to, or the making, submission or public announcement of, any Competing Proposal, (ii) enter into, continue or otherwise participate or engage in negotiations or discussions with (it being understood that the Company may inform Persons of the provisions contained in this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or furnish (or cause to be furnished) any material nonpublic information to, any</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77" w:name="page78"/>
    <w:bookmarkEnd w:id="77"/>
    <w:p>
      <w:pPr>
        <w:ind w:left="640" w:right="67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Person relating to a Competing Proposal or any inquiry or request that would reasonably be expected to lead to a Competing Proposal, (iii) enter into any letter of intent, agreement in principle, memorandum of understanding, merger agreement or other agreement, arrangement or understanding relating to any Competing Proposal (other than an Acceptable Confidentiality Agreement), (iv) submit to the stockholders of the Company for their approval any Competing Proposal, (v) grant a waiver of or terminate any “standstill” or similar obligation of any Third Party with respect to the Company or any of its Subsidiaries to allow such Third Party to submit a Competing Proposal or (vi) resolve to do, or agree or publicly announce an intention to do, any of the foregoing. The Company shall enforce, shall not release or permit (except to the extent any standstill terminates automatically as a result of execution of this Agreement pursuant to the terms of any confidentiality agreement to which the Company is a party in effect prior to the date hereof) the release of any Person from, or amend, waive, terminate or modify, and shall not permit the amendment, waiver, termination or modification of, any standstill or similar provision of, any confidentiality or similar agreement or provision to which the Company or any of its Subsidiaries is a party or under which the Company or any of its Subsidiaries has any rights. Without limiting the foregoing,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the Company or any of its Subsidiaries shall be deemed to be a breach of this Agreement, and any violation of the restrictions set forth in this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by any of the Company’s or its Subsidiaries’ Representatives, whether or not such Representative is so authorized and whether or not such Representative is purporting to act on behalf of the Company, its Subsidiary or otherwise, shall be deemed to be a breach of this Agreement by the Company.</w:t>
      </w:r>
    </w:p>
    <w:p>
      <w:pPr>
        <w:spacing w:after="0" w:line="138" w:lineRule="exact"/>
        <w:rPr>
          <w:sz w:val="20"/>
          <w:szCs w:val="20"/>
          <w:color w:val="auto"/>
        </w:rPr>
      </w:pPr>
    </w:p>
    <w:p>
      <w:pPr>
        <w:ind w:left="640" w:right="659" w:firstLine="693"/>
        <w:spacing w:after="0" w:line="267" w:lineRule="auto"/>
        <w:tabs>
          <w:tab w:leader="none" w:pos="1515"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shall promptly (and in any case within twenty-four (24) hours) provide Parent notice (A) of the receipt of any Competing Proposal, which notice shall include a complete and unredacted copy of such Competing Proposal (or a summary of the terms and conditions thereof if not made in writing), and (B) of any inquiries, proposals or offers received by, any requests for information from, or any discussions or negotiations with, the Company, any of its Subsidiaries or any of its or its Subsidiaries’ Representatives concerning a Competing Proposal or proposal that would reasonably be expected to constitute or lead to or result in a Competing Proposal, and disclose the identity of the other party (or parties) and the terms (including any amendments thereto) of such inquiry, offer, proposal, request, discussion or negotiation and, in the case of written materials, provide copies of such materials, (ii) shall substantially concurrently (and in any case within twenty-four (24) hours) make available to Parent all material nonpublic information provided by the Company or any of its Subsidiaries or its or its Subsidiaries’ Representatives to such party but not previously made available to Parent and (iii) shall keep Parent reasonably informed on a prompt basis (and, in any case, within twenty-four (24) hours of any significant development, discussions or negotiations) of the status and material details (including amendments and proposed amendments) of any such Competing Proposal or other inquiry, offer, proposal, request, discussion or negotiation of agreements (including schedules and exhibits thereto) relating to any Competing Proposal exchanged between the Company or its Subsidiaries or any of its or its Subsidiaries’ Representatives in each case thereof, on the one hand, and the Person (or any of its Representatives) making such Competing Proposal, on the other hand).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78" w:name="page79"/>
    <w:bookmarkEnd w:id="78"/>
    <w:p>
      <w:pPr>
        <w:ind w:left="640" w:right="679" w:firstLine="693"/>
        <w:spacing w:after="0" w:line="266" w:lineRule="auto"/>
        <w:tabs>
          <w:tab w:leader="none" w:pos="1508"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in this Agreement, at any time after the date of this Agreement and prior to the date that the receipt of the Requisite Company Stockholder Approval is obtained at the Company Stockholders’ Meeting, in the event that the Company receives a Competing Proposal from any Person, (i) the Company and its Representatives may contact such Person to clarify or understand the terms and conditions thereof and (ii) the Company and the Company Board and their respective Representatives may engage in negotiations and discussions with, and furnish any information and other access to, any Person making such Competing Proposal and its Representatives or potential sources of financing if the Company Board determines in good faith (after consultation with the Company’s outside legal counsel and financial advisors) that (A) such Competing Proposal either constitutes a Superior Proposal or would reasonably be expected to result in a Superior Proposal and (B) the failure to take any of the foregoing actions would be inconsistent with the directors’ fiduciary duties to the stockholders of the Company under applicable Law; </w:t>
      </w:r>
      <w:r>
        <w:rPr>
          <w:rFonts w:ascii="Times New Roman" w:cs="Times New Roman" w:eastAsia="Times New Roman" w:hAnsi="Times New Roman"/>
          <w:sz w:val="12"/>
          <w:szCs w:val="12"/>
          <w:u w:val="single" w:color="auto"/>
          <w:color w:val="auto"/>
        </w:rPr>
        <w:t>provided that</w:t>
      </w:r>
      <w:r>
        <w:rPr>
          <w:rFonts w:ascii="Times New Roman" w:cs="Times New Roman" w:eastAsia="Times New Roman" w:hAnsi="Times New Roman"/>
          <w:sz w:val="12"/>
          <w:szCs w:val="12"/>
          <w:color w:val="auto"/>
        </w:rPr>
        <w:t xml:space="preserve"> (i) prior to furnishing any material nonpublic information concerning the Company or its Subsidiaries, the Company receives from such Person, to the extent such Person is not already subject to a confidentiality agreement with the Company that would be deemed an “</w:t>
      </w:r>
      <w:r>
        <w:rPr>
          <w:rFonts w:ascii="Times New Roman" w:cs="Times New Roman" w:eastAsia="Times New Roman" w:hAnsi="Times New Roman"/>
          <w:sz w:val="12"/>
          <w:szCs w:val="12"/>
          <w:b w:val="1"/>
          <w:bCs w:val="1"/>
          <w:color w:val="auto"/>
        </w:rPr>
        <w:t>Acceptable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Confidentiality Agreement</w:t>
      </w:r>
      <w:r>
        <w:rPr>
          <w:rFonts w:ascii="Times New Roman" w:cs="Times New Roman" w:eastAsia="Times New Roman" w:hAnsi="Times New Roman"/>
          <w:sz w:val="12"/>
          <w:szCs w:val="12"/>
          <w:color w:val="auto"/>
        </w:rPr>
        <w:t>” (as defined below), an executed confidentiality agreement with such Person containing confidentiality terms that are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materially less favorable to the Company than those contained in the Confidentiality Agreement, it being understood that such confidentiality agreement need not contain a standstill provision or otherwise restrict the making, or amendment, of a Competing Proposal (and related communications) to the Company Board (such confidentiality agreement, an “</w:t>
      </w:r>
      <w:r>
        <w:rPr>
          <w:rFonts w:ascii="Times New Roman" w:cs="Times New Roman" w:eastAsia="Times New Roman" w:hAnsi="Times New Roman"/>
          <w:sz w:val="12"/>
          <w:szCs w:val="12"/>
          <w:b w:val="1"/>
          <w:bCs w:val="1"/>
          <w:color w:val="auto"/>
        </w:rPr>
        <w:t>Acceptable Confidentiality Agreement</w:t>
      </w:r>
      <w:r>
        <w:rPr>
          <w:rFonts w:ascii="Times New Roman" w:cs="Times New Roman" w:eastAsia="Times New Roman" w:hAnsi="Times New Roman"/>
          <w:sz w:val="12"/>
          <w:szCs w:val="12"/>
          <w:color w:val="auto"/>
        </w:rPr>
        <w:t>”) and (ii) any such material nonpublic information so furnished in writing shall be furnished to Parent prior to or substantially concurrently with furnishing such information to such third party to the extent it was not previously made available to Parent or its Representatives.</w:t>
      </w:r>
    </w:p>
    <w:p>
      <w:pPr>
        <w:spacing w:after="0" w:line="28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provided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the Company Board shall not (i) (A) withdraw, withhold, qualify or modify, or publicly propose to withdraw, withhold, qualify or modify, the Company Recommendation, (B) adopt, approve, authorize, declare advisable, endorse or recommend, or publicly propose to adopt, approve, authorize, declare advisable, endorse or recommend, to the Company’s stockholders any Competing Proposal, (C) if any Competing Proposal is publicly announced, fail to publicly recommend against such Competing Proposal or fail to publicly reaffirm the Company Recommendation, in each case within ten (10) Business Days after Parent so requests in writing, (D) in the event a tender offer that constitutes a Competing Proposal subject to Regulation 14D under the Exchange Act is commenced, fail to recommend against any Competing Proposal subject to Regulation 14D under the Exchange Act in a Solicitation/Recommendation Statement on Schedule 14D-9 within ten (10) Business Days after the commencement of such Competing Proposal, or (E) fail to include the recommendation of the Company Board in favor of approval and adoption of this Agreement and the First Merger in the Joint Proxy Statement/Prospectus (any action described in this clause (i) being referred to as an “</w:t>
      </w:r>
      <w:r>
        <w:rPr>
          <w:rFonts w:ascii="Times New Roman" w:cs="Times New Roman" w:eastAsia="Times New Roman" w:hAnsi="Times New Roman"/>
          <w:sz w:val="13"/>
          <w:szCs w:val="13"/>
          <w:b w:val="1"/>
          <w:bCs w:val="1"/>
          <w:color w:val="auto"/>
        </w:rPr>
        <w:t>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or (ii) adopt, approve, authorize or recommend, or propose to adopt, approve, authorize or recommend, or allow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Company or any of its Subsidiaries or any of their respective Representatives to execute, approve or enter into, any letter of intent, memorandum of understanding, joint venture agreement, partnership agreement, share or asset purchase agreement, definitive merger agreement, or any other similar agreement (A) with respect to any Competing Proposal or (B) that would reasonably be expected to lead to a Competing Proposal (other than an Acceptable Confidentiality Agreement as permitted by and in compliance with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79" w:name="page80"/>
    <w:bookmarkEnd w:id="79"/>
    <w:p>
      <w:pPr>
        <w:ind w:left="640" w:right="659" w:firstLine="693"/>
        <w:spacing w:after="0" w:line="266" w:lineRule="auto"/>
        <w:tabs>
          <w:tab w:leader="none" w:pos="1508"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in this Agreement to the contrary, at any time prior to receipt of the Requisite Company Stockholder Approval, the Company Board may (A) make an Adverse Recommendation Change or (B) terminate this Agreement to enter into a definitive agreement with respect to a Superior Proposal, in either case, subject to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only if (i) the Company Board (A) determines that an Intervening Event has occurred and is continuing and (B) determines in good faith (after consultation with its outside legal counsel and financial advisor) that the failure to take such action would be inconsistent with the directors’ fiduciary duties under applicable Law or (ii) the Company has received a bona fide written Competing Proposal (which is not withdrawn) that the Company Board (A) has determined in good faith (after consultation with its outside legal counsel and financial advisors) constitutes a Superior Proposal, (B) determines in good faith (after consultation with its outside legal counsel and financial advisors) that the failure to take such action would be inconsistent with the directors’ fiduciary duties under applicable Law and, in the case of clause (ii), provided, that the Company (x) pays, or causes to be paid, to Parent the Termination Fee payable pursuant to</w:t>
      </w:r>
    </w:p>
    <w:p>
      <w:pPr>
        <w:spacing w:after="0" w:line="1" w:lineRule="exact"/>
        <w:rPr>
          <w:rFonts w:ascii="Times New Roman" w:cs="Times New Roman" w:eastAsia="Times New Roman" w:hAnsi="Times New Roman"/>
          <w:sz w:val="12"/>
          <w:szCs w:val="12"/>
          <w:color w:val="auto"/>
        </w:rPr>
      </w:pPr>
    </w:p>
    <w:p>
      <w:pPr>
        <w:ind w:left="640" w:right="659"/>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8.3(a)(ii)</w:t>
      </w:r>
      <w:r>
        <w:rPr>
          <w:rFonts w:ascii="Times New Roman" w:cs="Times New Roman" w:eastAsia="Times New Roman" w:hAnsi="Times New Roman"/>
          <w:sz w:val="12"/>
          <w:szCs w:val="12"/>
          <w:color w:val="auto"/>
        </w:rPr>
        <w:t xml:space="preserve"> prior to or concurrently with such termination and (y) immediately following or concurrently with such termination, enters into a definitive acquisition agreement that documents the terms and conditions of such Superior Proposal;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no Adverse Recommendation Change or termination of this Agreement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as applicable, may be made unless and until (x) after the fifth (5th) Business Day following Parent’s receipt of a written notice from the Company advising Parent that the Company Board intends to make an Adverse Recommendation Change or terminate the Agreement, as applicable (a “</w:t>
      </w:r>
      <w:r>
        <w:rPr>
          <w:rFonts w:ascii="Times New Roman" w:cs="Times New Roman" w:eastAsia="Times New Roman" w:hAnsi="Times New Roman"/>
          <w:sz w:val="12"/>
          <w:szCs w:val="12"/>
          <w:b w:val="1"/>
          <w:bCs w:val="1"/>
          <w:color w:val="auto"/>
        </w:rPr>
        <w:t>Notice of Adverse Recommendation</w:t>
      </w:r>
      <w:r>
        <w:rPr>
          <w:rFonts w:ascii="Times New Roman" w:cs="Times New Roman" w:eastAsia="Times New Roman" w:hAnsi="Times New Roman"/>
          <w:sz w:val="12"/>
          <w:szCs w:val="12"/>
          <w:color w:val="auto"/>
        </w:rPr>
        <w:t>” and such five (5) Business Day period, the “</w:t>
      </w:r>
      <w:r>
        <w:rPr>
          <w:rFonts w:ascii="Times New Roman" w:cs="Times New Roman" w:eastAsia="Times New Roman" w:hAnsi="Times New Roman"/>
          <w:sz w:val="12"/>
          <w:szCs w:val="12"/>
          <w:b w:val="1"/>
          <w:bCs w:val="1"/>
          <w:color w:val="auto"/>
        </w:rPr>
        <w:t>Company Notice Period</w:t>
      </w:r>
      <w:r>
        <w:rPr>
          <w:rFonts w:ascii="Times New Roman" w:cs="Times New Roman" w:eastAsia="Times New Roman" w:hAnsi="Times New Roman"/>
          <w:sz w:val="12"/>
          <w:szCs w:val="12"/>
          <w:color w:val="auto"/>
        </w:rPr>
        <w:t xml:space="preserve">”) and specifying in detail the reasons therefor, including, if the basis of the proposed action by the Company Board is an Intervening Event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the material facts and circumstances related to such Intervening Event, or if the basis of the proposed action by the Company Board is a Superior Proposal pursuant to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the material terms and conditions of any such Superior Proposal that is the basis of the proposed action, (y) during the Company Notice Period, if requested by Parent, the Company shall have engaged in good faith discussions and negotiations with Parent regarding any adjustment or amendment to this Agreement or any other agreement proposed by Parent with the goal of (A) obviating the need to effect an Adverse Recommendation Change or termination, as applicable or (B) causing such Competing Proposal to no longer constitute a Superior Proposal, as applicable, and (z) the Company Board shall have considered in good faith any proposed adjustments or amendments to this Agreement (including a change to the price terms hereof) and any other agreements that may be proposed in writing by Parent no later than 11:59 p.m., New York City time, on the last day of the Company Notice Period and shall have determined again in good faith, after consultation with its outside legal counsel and financial advisor, that the failure to make an Adverse Recommendation Change or termination pursuant to </w:t>
      </w:r>
      <w:r>
        <w:rPr>
          <w:rFonts w:ascii="Times New Roman" w:cs="Times New Roman" w:eastAsia="Times New Roman" w:hAnsi="Times New Roman"/>
          <w:sz w:val="12"/>
          <w:szCs w:val="12"/>
          <w:u w:val="single" w:color="auto"/>
          <w:color w:val="auto"/>
        </w:rPr>
        <w:t>Section 6.6(e)(i)</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6.6(e)(ii)</w:t>
      </w:r>
      <w:r>
        <w:rPr>
          <w:rFonts w:ascii="Times New Roman" w:cs="Times New Roman" w:eastAsia="Times New Roman" w:hAnsi="Times New Roman"/>
          <w:sz w:val="12"/>
          <w:szCs w:val="12"/>
          <w:color w:val="auto"/>
        </w:rPr>
        <w:t xml:space="preserve">, as applicable, would be inconsistent with the directors’ fiduciary duties under applicable Law. Any material change in facts with respect to such Intervening Event or amendment to the financial terms or any other material amendment of such Superior Proposal shall, in each case, require a new Notice of Adverse Recommendation and the Company shall be required to comply again with the requirements of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with respect to such new written notice, and a new Company Notice Period pursuant to this </w:t>
      </w:r>
      <w:r>
        <w:rPr>
          <w:rFonts w:ascii="Times New Roman" w:cs="Times New Roman" w:eastAsia="Times New Roman" w:hAnsi="Times New Roman"/>
          <w:sz w:val="12"/>
          <w:szCs w:val="12"/>
          <w:u w:val="single" w:color="auto"/>
          <w:color w:val="auto"/>
        </w:rPr>
        <w:t>Section 6.6(e)</w:t>
      </w:r>
      <w:r>
        <w:rPr>
          <w:rFonts w:ascii="Times New Roman" w:cs="Times New Roman" w:eastAsia="Times New Roman" w:hAnsi="Times New Roman"/>
          <w:sz w:val="12"/>
          <w:szCs w:val="12"/>
          <w:color w:val="auto"/>
        </w:rPr>
        <w:t xml:space="preserve"> shall commence, except that the five (5) Business Day Company Notice Period referenced above shall instead be equal to three (3) Business Days.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0" w:name="page81"/>
    <w:bookmarkEnd w:id="80"/>
    <w:p>
      <w:pPr>
        <w:ind w:left="640" w:right="679" w:firstLine="693"/>
        <w:spacing w:after="0" w:line="249" w:lineRule="auto"/>
        <w:tabs>
          <w:tab w:leader="none" w:pos="1494"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the Company or the Company Board from taking or disclosing a position contemplated by Rules 14d-9 or 14e-2(a) under the Exchange Act, or otherwise making disclosure to comply with applicable Law with regard to a Competing Proposal (it being agreed that a “stop, look and listen” communication by the Company Board to the Company’s stockholders pursuant to Rule 14d-9(f) under the Exchange Act or a factually accurate public statement by the Company that describes the Company’s receipt of a Competing Proposal and the operation of this Agreement with respect thereto shall not be deemed to be an Adverse Recommendation Change).</w:t>
      </w:r>
    </w:p>
    <w:p>
      <w:pPr>
        <w:spacing w:after="0" w:line="134"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w:t>
      </w:r>
    </w:p>
    <w:p>
      <w:pPr>
        <w:spacing w:after="0" w:line="75" w:lineRule="exact"/>
        <w:rPr>
          <w:rFonts w:ascii="Times New Roman" w:cs="Times New Roman" w:eastAsia="Times New Roman" w:hAnsi="Times New Roman"/>
          <w:sz w:val="13"/>
          <w:szCs w:val="13"/>
          <w:color w:val="auto"/>
        </w:rPr>
      </w:pPr>
    </w:p>
    <w:p>
      <w:pPr>
        <w:ind w:left="940" w:right="719" w:firstLine="675"/>
        <w:spacing w:after="0" w:line="269" w:lineRule="auto"/>
        <w:tabs>
          <w:tab w:leader="none" w:pos="1759" w:val="left"/>
        </w:tabs>
        <w:numPr>
          <w:ilvl w:val="1"/>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Competing Proposal</w:t>
      </w:r>
      <w:r>
        <w:rPr>
          <w:rFonts w:ascii="Times New Roman" w:cs="Times New Roman" w:eastAsia="Times New Roman" w:hAnsi="Times New Roman"/>
          <w:sz w:val="12"/>
          <w:szCs w:val="12"/>
          <w:color w:val="auto"/>
        </w:rPr>
        <w:t xml:space="preserve">” shall mean any bona fide written proposal or offer made by any Person (other than Parent, Merger Sub I, Merger Sub II or any of their respective controlled Affiliates) or group of Persons as defined in Section 13(d)(3) of the Exchange Act that, for purposes of evaluating whether such Competing Proposal may constitute a Superior Proposal, did not result from a breach of </w:t>
      </w:r>
      <w:r>
        <w:rPr>
          <w:rFonts w:ascii="Times New Roman" w:cs="Times New Roman" w:eastAsia="Times New Roman" w:hAnsi="Times New Roman"/>
          <w:sz w:val="12"/>
          <w:szCs w:val="12"/>
          <w:u w:val="single" w:color="auto"/>
          <w:color w:val="auto"/>
        </w:rPr>
        <w:t>Section 6.6</w:t>
      </w:r>
      <w:r>
        <w:rPr>
          <w:rFonts w:ascii="Times New Roman" w:cs="Times New Roman" w:eastAsia="Times New Roman" w:hAnsi="Times New Roman"/>
          <w:sz w:val="12"/>
          <w:szCs w:val="12"/>
          <w:color w:val="auto"/>
        </w:rPr>
        <w:t xml:space="preserve"> of this Agreement, to purchase or otherwise acquire, directly or indirectly, in one transaction or a series of transactions, (A) beneficial ownership (as defined under Section 13(d) of the Exchange Act) of twenty percent (20%) or more of any class of equity securities of the Company pursuant to a merger, consolidation or other business combination, sale of shares of capital stock, tender offer (including a self-tender offer), exchange offer, liquidation, dissolution or similar transaction, or (B) any one or more assets or businesses of the Company and its Subsidiaries that constitute twenty percent (20%) or more of the revenues, earnings or assets (based on the fair market value thereof) of the Company and its Subsidiaries, taken as a whole, in each case as determined by the Company Board (or any committee thereof) in good faith.</w:t>
      </w:r>
    </w:p>
    <w:p>
      <w:pPr>
        <w:spacing w:after="0" w:line="48" w:lineRule="exact"/>
        <w:rPr>
          <w:rFonts w:ascii="Times New Roman" w:cs="Times New Roman" w:eastAsia="Times New Roman" w:hAnsi="Times New Roman"/>
          <w:sz w:val="12"/>
          <w:szCs w:val="12"/>
          <w:color w:val="auto"/>
        </w:rPr>
      </w:pPr>
    </w:p>
    <w:p>
      <w:pPr>
        <w:ind w:left="940" w:right="659" w:firstLine="675"/>
        <w:spacing w:after="0" w:line="245" w:lineRule="auto"/>
        <w:tabs>
          <w:tab w:leader="none" w:pos="1794"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by the Company) occurring or arising after the date of this Agreement that (A) was not known to or would not reasonably have been expected to be known to or foreseeable by the Company Board as of or prior to the date of this Agreement and which becomes known to the Company Board following the date of this Agreement, (B) does not involve or relate to a Competing Proposal and (C) materially affects the business, assets or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an Intervening Event: (1) any Competing Proposal; (2)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“Intervening Event” may be taken into account); and (3) changes in the Company’s or Parent’s stock price or the trading volume of the Company’s or Parent’s stock (it being understood that the underlying causes of such changes that are not otherwise excluded from the definition of “Intervening Event” may be taken into account).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1" w:name="page82"/>
    <w:bookmarkEnd w:id="81"/>
    <w:p>
      <w:pPr>
        <w:ind w:left="940" w:right="779" w:firstLine="675"/>
        <w:spacing w:after="0" w:line="247" w:lineRule="auto"/>
        <w:tabs>
          <w:tab w:leader="none" w:pos="1829"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mean a bona fide written Competing Proposal as defined in clause (A) or (B) of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xml:space="preserve"> (with all percentages in the definition of Competing Proposal increased to fifty percent (50%)) made by a Third Party that did not result from a breach of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of this Agreement and that the Company Board determines in good faith, after consultation with its legal counsel and financial advisors and taking into account at the time of determination all relevant circumstances, including the various legal, financial and regulatory aspects or conditions of such Competing Proposal, (A) that is reasonably likely to be consummated if accepted and (B) that contains terms more favorable from a financial point of view to the Company’s stockholders than the transactions contemplated by this Agreement (including any changes to the terms of this Agreement to which Parent has committed to the Company in writing in response to such Competing Proposal under the provisions of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6.7 </w:t>
      </w:r>
      <w:r>
        <w:rPr>
          <w:rFonts w:ascii="Times New Roman" w:cs="Times New Roman" w:eastAsia="Times New Roman" w:hAnsi="Times New Roman"/>
          <w:sz w:val="13"/>
          <w:szCs w:val="13"/>
          <w:u w:val="single" w:color="auto"/>
          <w:color w:val="auto"/>
        </w:rPr>
        <w:t>Parent Change in Recommendation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39" w:firstLine="693"/>
        <w:spacing w:after="0" w:line="286" w:lineRule="auto"/>
        <w:tabs>
          <w:tab w:leader="none" w:pos="1508"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provided in </w:t>
      </w:r>
      <w:r>
        <w:rPr>
          <w:rFonts w:ascii="Times New Roman" w:cs="Times New Roman" w:eastAsia="Times New Roman" w:hAnsi="Times New Roman"/>
          <w:sz w:val="12"/>
          <w:szCs w:val="12"/>
          <w:u w:val="single" w:color="auto"/>
          <w:color w:val="auto"/>
        </w:rPr>
        <w:t>Section 6.7(b)</w:t>
      </w:r>
      <w:r>
        <w:rPr>
          <w:rFonts w:ascii="Times New Roman" w:cs="Times New Roman" w:eastAsia="Times New Roman" w:hAnsi="Times New Roman"/>
          <w:sz w:val="12"/>
          <w:szCs w:val="12"/>
          <w:color w:val="auto"/>
        </w:rPr>
        <w:t>, the Parent Board shall not (i) withdraw, withhold, qualify or modify, or propose to withdraw, withhold, qualify or modify, the Parent Recommendation, or (ii) fail to include the Parent Recommendation in the Joint Proxy Statement/Prospectus (any action described in clauses (i) and (ii) being referred to as an “</w:t>
      </w:r>
      <w:r>
        <w:rPr>
          <w:rFonts w:ascii="Times New Roman" w:cs="Times New Roman" w:eastAsia="Times New Roman" w:hAnsi="Times New Roman"/>
          <w:sz w:val="12"/>
          <w:szCs w:val="12"/>
          <w:b w:val="1"/>
          <w:bCs w:val="1"/>
          <w:color w:val="auto"/>
        </w:rPr>
        <w:t>Parent Adverse Recommendation Change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ind w:left="640" w:right="659" w:firstLine="693"/>
        <w:spacing w:after="0" w:line="244" w:lineRule="auto"/>
        <w:tabs>
          <w:tab w:leader="none" w:pos="1515"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Agreement to the contrary, at any time prior to receipt of the Requisite Parent Stockholder Approval, the Parent Board may make a Parent Adverse Recommendation Change only if the Parent Board (i) determines that a Parent Intervening Event has occurred and is continuing and (ii) determines in good faith (after consultation with its outside legal counsel and financial advisor) that the failure to take such action would be inconsistent with the directors’ fiduciary duties under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no Parent Adverse Recommendation Change may be made unless and until (x) after the fifth (5th) Business Day following the Company’s receipt of a written notice from Parent advising the Company that the Parent Board intends to make a Parent Adverse Recommendation Change (a “</w:t>
      </w:r>
      <w:r>
        <w:rPr>
          <w:rFonts w:ascii="Times New Roman" w:cs="Times New Roman" w:eastAsia="Times New Roman" w:hAnsi="Times New Roman"/>
          <w:sz w:val="13"/>
          <w:szCs w:val="13"/>
          <w:b w:val="1"/>
          <w:bCs w:val="1"/>
          <w:color w:val="auto"/>
        </w:rPr>
        <w:t>Notice of Parent Adverse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Recommendation Change</w:t>
      </w:r>
      <w:r>
        <w:rPr>
          <w:rFonts w:ascii="Times New Roman" w:cs="Times New Roman" w:eastAsia="Times New Roman" w:hAnsi="Times New Roman"/>
          <w:sz w:val="13"/>
          <w:szCs w:val="13"/>
          <w:color w:val="auto"/>
        </w:rPr>
        <w:t>” and such five (5) Business Day period, the “</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and specifying in detail the reasons therefor,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the material facts and circumstances related to such Parent Intervening Event, (y) during the Parent Notice Period, if requested by the Company, Parent shall have engaged in good faith discussions and negotiations with the Company regarding any adjustment or amendment to this Agreement or any other agreement proposed by the Company with the goal of obviating the need to effect a Parent Adverse Recommendation Change, and (z) the Parent Board shall have considered in good faith any proposed adjustments or amendments to this Agreement (including a change to the price terms hereof) and any other agreements that may be proposed in writing by the Company no later than 11:59 p.m., New York City time, on the last day of the Parent Notice Period and shall have determined again in good faith, after consultation with its outside legal counsel and financial advisor, that the failure to make a Parent Adverse Recommendation Change pursuant to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would be inconsistent with the directors’ fiduciary duties under applicable Law. Any material change in facts with respect to such Parent Intervening Event shall, in each case, require a new Notice of Parent Adverse Recommendation Change and Parent shall be required to comply again with the requirements of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with respect to such new written notice, and a new Parent Notice Period pursuant to this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 xml:space="preserve"> shall commence, except that the five (5) Business Day Parent Notice Period referenced above shall instead be equal to three (3) Business Days.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29" w:right="1440" w:bottom="1440" w:gutter="0" w:footer="0" w:header="0"/>
        </w:sectPr>
      </w:pPr>
    </w:p>
    <w:bookmarkStart w:id="82" w:name="page83"/>
    <w:bookmarkEnd w:id="82"/>
    <w:p>
      <w:pPr>
        <w:ind w:left="640" w:right="659" w:firstLine="693"/>
        <w:spacing w:after="0" w:line="251" w:lineRule="auto"/>
        <w:tabs>
          <w:tab w:leader="none" w:pos="1508"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Nothing in this Agreement shall restrict Parent or the Parent Board from taking or disclosing a position contemplated by Rules 14d-9 or 14e-2(a) under the Exchange Act, or otherwise making disclosure to comply with applicable Law (it being agreed that a “stop, look and listen” communication by the Parent Board to the Parent’s stockholders pursuant to Rule 14d-9(f) under the Exchange Act shall not be deemed to be a Parent Adverse Recommendation Change).</w:t>
      </w:r>
    </w:p>
    <w:p>
      <w:pPr>
        <w:spacing w:after="0" w:line="130" w:lineRule="exact"/>
        <w:rPr>
          <w:rFonts w:ascii="Times New Roman" w:cs="Times New Roman" w:eastAsia="Times New Roman" w:hAnsi="Times New Roman"/>
          <w:sz w:val="13"/>
          <w:szCs w:val="13"/>
          <w:color w:val="auto"/>
        </w:rPr>
      </w:pPr>
    </w:p>
    <w:p>
      <w:pPr>
        <w:jc w:val="both"/>
        <w:ind w:left="640" w:right="779" w:firstLine="693"/>
        <w:spacing w:after="0" w:line="270" w:lineRule="auto"/>
        <w:tabs>
          <w:tab w:leader="none" w:pos="1515" w:val="left"/>
        </w:tabs>
        <w:numPr>
          <w:ilvl w:val="1"/>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a “</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xml:space="preserve">” shall mean any change, event, effect, fact, condition or circumstance (other than any change, event, effect, fact, condition or circumstance resulting from a breach of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of this Agreement by Parent) occurring or arising after the date of this Agreement that (A) was not known to or would not reasonably have been expected to be known to or foreseeable by the Parent Board as of or prior to the date of this Agreement and which becomes known to the Parent Board following the date of this Agreement, and</w:t>
      </w:r>
    </w:p>
    <w:p>
      <w:pPr>
        <w:ind w:left="640" w:right="739" w:hanging="3"/>
        <w:spacing w:after="0" w:line="244" w:lineRule="auto"/>
        <w:tabs>
          <w:tab w:leader="none" w:pos="84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materially affects the business, assets or operations of Parent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none of the following, whether alone or in combination, shall constitute or deemed to contribute to a Parent Intervening Event: (1) the fact, in and of itself, that the Company or Parent meets or exceeds (or fails to meet or exceed) internal budgets or plans or internal or published forecasts of its revenues, earnings or other financial performance or results of operations (it being understood that the underlying causes of such performance that are not otherwise excluded from the definition of “Parent Intervening Event” may be taken into account); and (2) changes in the Company’s or Parent’s stock price or the trading volume of the Company’s or Parent’s stock (it being understood that the underlying causes of such changes that are not otherwise excluded from the definition of “Parent Intervening Event” may be taken into account).</w:t>
      </w:r>
    </w:p>
    <w:p>
      <w:pPr>
        <w:spacing w:after="0" w:line="13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6.8 </w:t>
      </w:r>
      <w:r>
        <w:rPr>
          <w:rFonts w:ascii="Times New Roman" w:cs="Times New Roman" w:eastAsia="Times New Roman" w:hAnsi="Times New Roman"/>
          <w:sz w:val="13"/>
          <w:szCs w:val="13"/>
          <w:u w:val="single" w:color="auto"/>
          <w:color w:val="auto"/>
        </w:rPr>
        <w:t>Directors’ and Officers’ Indemnification and Insurance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3"/>
        <w:spacing w:after="0" w:line="268" w:lineRule="auto"/>
        <w:tabs>
          <w:tab w:leader="none" w:pos="150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six years after the First Effective Time, Merger Sub II shall, and Parent shall cause the Surviving Company to, to the fullest extent permitted by applicable Law and the Company Charter and Company Bylaws, indemnify, defend and hold harmless each current or former director or officer of the Company or any of the Company’s Subsidiaries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Indemnified Parties</w:t>
      </w:r>
      <w:r>
        <w:rPr>
          <w:rFonts w:ascii="Times New Roman" w:cs="Times New Roman" w:eastAsia="Times New Roman" w:hAnsi="Times New Roman"/>
          <w:sz w:val="12"/>
          <w:szCs w:val="12"/>
          <w:color w:val="auto"/>
        </w:rPr>
        <w:t>”) against (i) all losses, expenses (including reasonable attorneys’ fees and expenses), judgments, fines, claims, damages or liabilities or, subject to the proviso of the next succeeding sentence, amounts paid in settlement, arising out of actions or omissions occurring at or prior to the First Effective Time (and whether asserted or claimed prior to, at or after the First Effective Time) to the extent that they are based on or arise out of the fact that such person is or was a director or officer of the Company or any of its Subsidiaries (the “</w:t>
      </w:r>
      <w:r>
        <w:rPr>
          <w:rFonts w:ascii="Times New Roman" w:cs="Times New Roman" w:eastAsia="Times New Roman" w:hAnsi="Times New Roman"/>
          <w:sz w:val="12"/>
          <w:szCs w:val="12"/>
          <w:b w:val="1"/>
          <w:bCs w:val="1"/>
          <w:color w:val="auto"/>
        </w:rPr>
        <w:t>Indemnified Liabilities</w:t>
      </w:r>
      <w:r>
        <w:rPr>
          <w:rFonts w:ascii="Times New Roman" w:cs="Times New Roman" w:eastAsia="Times New Roman" w:hAnsi="Times New Roman"/>
          <w:sz w:val="12"/>
          <w:szCs w:val="12"/>
          <w:color w:val="auto"/>
        </w:rPr>
        <w:t>”) and (ii) all Indemnified Liabilities to the extent they are based on or arise out of or pertain to the approval of this Agreement and the First Merger or the transactions contemplated hereby, whether asserted or claimed prior to, at or after the First Effective Time. In the event of any such Indemnified Liability (whether or not asserted before the First Effective Time), the Surviving Company shall pay the reasonable fees and expenses of counsel promptly and otherwise advance to such Indemnified Party upon request, reimbursement of documented expenses reasonably incurred in each case to the extent provided in the Company</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3" w:name="page84"/>
    <w:bookmarkEnd w:id="83"/>
    <w:p>
      <w:pPr>
        <w:jc w:val="both"/>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Charter, Company Bylaws and any indemnification agreements of the Company (that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complete copies of which have been made available to Parent prior to the date hereof) in effect on the date of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person to whom expenses are advanced provides an undertaking to repay such advance if it is determined by a final and non-appealable judgment of a court of competent jurisdiction that such person is not legally entitled to indemnification under applicable Law).</w:t>
      </w:r>
    </w:p>
    <w:p>
      <w:pPr>
        <w:spacing w:after="0" w:line="133" w:lineRule="exact"/>
        <w:rPr>
          <w:sz w:val="20"/>
          <w:szCs w:val="20"/>
          <w:color w:val="auto"/>
        </w:rPr>
      </w:pPr>
    </w:p>
    <w:p>
      <w:pPr>
        <w:ind w:left="640" w:right="659" w:firstLine="693"/>
        <w:spacing w:after="0" w:line="245" w:lineRule="auto"/>
        <w:tabs>
          <w:tab w:leader="none" w:pos="1515"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be permitted to, prior to the First Effective Time, and if the Company fails to do so, Merger Sub II shall, and Parent shall cause the Surviving Company to, obtain and fully pay the premium for a “tail” directors’ and officers’ liability insurance policy and fiduciary liability insurance policy that provides coverage for a period of six (6) years from and after the First Effective Time for events occurring prior to the First Effective Time (the “</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that is substantially equivalent to and in any event not less favorable in the aggregate to the intended beneficiaries thereof than the Company’s existing directors’ and officers’ liability and fiduciary liability insurance policies;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no event shall the premium of the D&amp;O Insurance exceed 300% of the then current aggregate annual premium of the Company’s existing policies in place at the First Effective Time. If the Company and Merger Sub II for any reason fail to obtain such “tail” insurance policy as of the First Effective Time, Merger Sub II shall, and Parent shall cause the Surviving Company to, continue to maintain in effect for a period of at least six (6) years from and after the First Effective Time (and for so long thereafter as any claims brought before the end of such six (6) year period thereunder are being adjudicated) the D&amp;O Insurance in place as of the date of this Agreement with terms, conditions, retentions and limits of liability that are at least as favorable as provided in the Company’s existing policies as of the date of this Agreement, or Merger Sub II shall, and Parent shall cause the Surviving Company to, purchase comparable D&amp;O Insurance for such six (6) year period (and for so long thereafter as any claims brought before the end of such six (6) year period thereunder are being adjudicated) with terms, conditions, retentions and limits of liability that are at least as favorable as provided in the Company’s existing policies as of the date of this Agreement.</w:t>
      </w:r>
    </w:p>
    <w:p>
      <w:pPr>
        <w:spacing w:after="0" w:line="138"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08"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For not less than six (6) years from and after the First Effective Time, the certificate of formation and operating agreement of the Surviving Company shall contain provisions no less favorable to the intended beneficiaries thereof with respect to exculpation, indemnification and advancement of expenses for periods at or prior to the First Effective Time than are currently set forth in the Company Charter and the Company Bylaws. The contractual indemnification rights in existence on the date of this Agreement with any of the directors, officers or employees of the Company or any of its Subsidiaries that have been made available to Parent prior to the date hereof and are set forth on </w:t>
      </w:r>
      <w:r>
        <w:rPr>
          <w:rFonts w:ascii="Times New Roman" w:cs="Times New Roman" w:eastAsia="Times New Roman" w:hAnsi="Times New Roman"/>
          <w:sz w:val="13"/>
          <w:szCs w:val="13"/>
          <w:u w:val="single" w:color="auto"/>
          <w:color w:val="auto"/>
        </w:rPr>
        <w:t>Section 6.8(c)</w:t>
      </w:r>
      <w:r>
        <w:rPr>
          <w:rFonts w:ascii="Times New Roman" w:cs="Times New Roman" w:eastAsia="Times New Roman" w:hAnsi="Times New Roman"/>
          <w:sz w:val="13"/>
          <w:szCs w:val="13"/>
          <w:color w:val="auto"/>
        </w:rPr>
        <w:t xml:space="preserve"> of the Company Disclosure Letter shall be assumed by the Surviving Company, without any further action, and Parent hereby assumes, effective as of the First Effective Time, such contractual indemnification obligations. Such contractual indemnification obligations shall continue in full force and effect in accordance with their terms following the First Effective Time.</w:t>
      </w:r>
    </w:p>
    <w:p>
      <w:pPr>
        <w:spacing w:after="0" w:line="138" w:lineRule="exact"/>
        <w:rPr>
          <w:rFonts w:ascii="Times New Roman" w:cs="Times New Roman" w:eastAsia="Times New Roman" w:hAnsi="Times New Roman"/>
          <w:sz w:val="13"/>
          <w:szCs w:val="13"/>
          <w:color w:val="auto"/>
        </w:rPr>
      </w:pPr>
    </w:p>
    <w:p>
      <w:pPr>
        <w:ind w:left="640" w:right="939" w:firstLine="693"/>
        <w:spacing w:after="0" w:line="274" w:lineRule="auto"/>
        <w:tabs>
          <w:tab w:leader="none" w:pos="1515" w:val="left"/>
        </w:tabs>
        <w:numPr>
          <w:ilvl w:val="1"/>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Parent or the Surviving Company or any of their successors or assigns shall (i) consolidate with or merge or amalgamate into any other Person and shall not be the continuing or surviving company or entity of such consolidation, merger or amalgamation or</w:t>
      </w:r>
    </w:p>
    <w:p>
      <w:pPr>
        <w:spacing w:after="0" w:line="1" w:lineRule="exact"/>
        <w:rPr>
          <w:rFonts w:ascii="Times New Roman" w:cs="Times New Roman" w:eastAsia="Times New Roman" w:hAnsi="Times New Roman"/>
          <w:sz w:val="12"/>
          <w:szCs w:val="12"/>
          <w:color w:val="auto"/>
        </w:rPr>
      </w:pPr>
    </w:p>
    <w:p>
      <w:pPr>
        <w:ind w:left="640" w:right="879" w:hanging="3"/>
        <w:spacing w:after="0" w:line="245" w:lineRule="auto"/>
        <w:tabs>
          <w:tab w:leader="none" w:pos="826"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 all or substantially all of its properties and assets to any Person, then, and in each such case, Parent shall cause the successor or assign of Parent, the Surviving Company or such transferee of all or substantially all of its or their properties and assets, as the case may be, to assume the obligations set forth in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4" w:name="page85"/>
    <w:bookmarkEnd w:id="84"/>
    <w:p>
      <w:pPr>
        <w:ind w:left="640" w:right="679" w:firstLine="693"/>
        <w:spacing w:after="0" w:line="249" w:lineRule="auto"/>
        <w:tabs>
          <w:tab w:leader="none" w:pos="1508"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Indemnified Parties are third-party beneficiaries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The provisions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shall survive the Mergers and are intended to be for the benefit of, and enforceable by, each Indemnified Party and his or her successors, heirs or representatives. The rights of each Indemnified Party hereunder shall be in addition to, and not in limitation of, any other applicable rights such Indemnified Party may have under the respective organizational documents of the Company or any of its Subsidiaries or the Surviving Company, any other indemnification arrangement, applicable Law or otherwise.</w:t>
      </w:r>
    </w:p>
    <w:p>
      <w:pPr>
        <w:spacing w:after="0" w:line="134" w:lineRule="exact"/>
        <w:rPr>
          <w:sz w:val="20"/>
          <w:szCs w:val="20"/>
          <w:color w:val="auto"/>
        </w:rPr>
      </w:pPr>
    </w:p>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t xml:space="preserve">Section 6.9 </w:t>
      </w:r>
      <w:r>
        <w:rPr>
          <w:rFonts w:ascii="Times New Roman" w:cs="Times New Roman" w:eastAsia="Times New Roman" w:hAnsi="Times New Roman"/>
          <w:sz w:val="12"/>
          <w:szCs w:val="12"/>
          <w:u w:val="single" w:color="auto"/>
          <w:color w:val="auto"/>
        </w:rPr>
        <w:t>Notification of Certain Matters</w:t>
      </w:r>
      <w:r>
        <w:rPr>
          <w:rFonts w:ascii="Times New Roman" w:cs="Times New Roman" w:eastAsia="Times New Roman" w:hAnsi="Times New Roman"/>
          <w:sz w:val="12"/>
          <w:szCs w:val="12"/>
          <w:color w:val="auto"/>
        </w:rPr>
        <w:t>. The Company shall give prompt notice to Parent, and Parent shall give prompt notice to the Company, of (a) any notice or other communication received by such party from any Governmental Authority in connection with this Agreement, the Mergers or the transactions contemplated hereby, or from any Person alleging that the consent of such Person is or may be required in connection with the Mergers or the transactions contemplated hereby, (b) any Action commenced or, to such party’s Knowledge, threatened against, relating to or involving or otherwise affecting such party or any of its Subsidiaries which relates to this Agreement, the Mergers or the transactions contemplated hereby, and</w:t>
      </w:r>
    </w:p>
    <w:p>
      <w:pPr>
        <w:spacing w:after="0" w:line="1" w:lineRule="exact"/>
        <w:rPr>
          <w:sz w:val="20"/>
          <w:szCs w:val="20"/>
          <w:color w:val="auto"/>
        </w:rPr>
      </w:pPr>
    </w:p>
    <w:p>
      <w:pPr>
        <w:jc w:val="both"/>
        <w:ind w:left="640" w:right="719" w:hanging="3"/>
        <w:spacing w:after="0" w:line="287" w:lineRule="auto"/>
        <w:tabs>
          <w:tab w:leader="none" w:pos="812"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breach by such party of any representation, warranty, covenant or agreement contained in this Agreement that would reasonably be expected to, individually or in the aggregate, result in a failure of a condition set forth in </w:t>
      </w:r>
      <w:r>
        <w:rPr>
          <w:rFonts w:ascii="Times New Roman" w:cs="Times New Roman" w:eastAsia="Times New Roman" w:hAnsi="Times New Roman"/>
          <w:sz w:val="12"/>
          <w:szCs w:val="12"/>
          <w:u w:val="single" w:color="auto"/>
          <w:color w:val="auto"/>
        </w:rPr>
        <w:t>Section 7.2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7.3</w:t>
      </w:r>
      <w:r>
        <w:rPr>
          <w:rFonts w:ascii="Times New Roman" w:cs="Times New Roman" w:eastAsia="Times New Roman" w:hAnsi="Times New Roman"/>
          <w:sz w:val="12"/>
          <w:szCs w:val="12"/>
          <w:color w:val="auto"/>
        </w:rPr>
        <w:t>, as applicable, if continuing on the Closing Date.</w:t>
      </w:r>
    </w:p>
    <w:p>
      <w:pPr>
        <w:spacing w:after="0" w:line="112" w:lineRule="exact"/>
        <w:rPr>
          <w:sz w:val="20"/>
          <w:szCs w:val="20"/>
          <w:color w:val="auto"/>
        </w:rPr>
      </w:pPr>
    </w:p>
    <w:p>
      <w:pPr>
        <w:ind w:left="640" w:right="699" w:firstLine="309"/>
        <w:spacing w:after="0" w:line="234" w:lineRule="auto"/>
        <w:rPr>
          <w:sz w:val="20"/>
          <w:szCs w:val="20"/>
          <w:color w:val="auto"/>
        </w:rPr>
      </w:pPr>
      <w:r>
        <w:rPr>
          <w:rFonts w:ascii="Times New Roman" w:cs="Times New Roman" w:eastAsia="Times New Roman" w:hAnsi="Times New Roman"/>
          <w:sz w:val="13"/>
          <w:szCs w:val="13"/>
          <w:color w:val="auto"/>
        </w:rPr>
        <w:t xml:space="preserve">Section 6.10 </w:t>
      </w:r>
      <w:r>
        <w:rPr>
          <w:rFonts w:ascii="Times New Roman" w:cs="Times New Roman" w:eastAsia="Times New Roman" w:hAnsi="Times New Roman"/>
          <w:sz w:val="13"/>
          <w:szCs w:val="13"/>
          <w:u w:val="single" w:color="auto"/>
          <w:color w:val="auto"/>
        </w:rPr>
        <w:t>Public Announcements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Except as otherwise contemplated by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prior to the First Effective Time, the Company, Parent, Merger Sub I and Merger Sub II shall consult with each other before issuing any press release or otherwise making any public statements with respect to this Agreement or the transactions contemplated hereby, and none of the parties or their respective Affiliates shall issue any such press release or make any such public statement prior to obtaining the other parties’ consent (which consent shall not be unreasonably withheld, conditioned or delayed), except that no such consent shall be necessary to the extent disclosure may be required by Law, Order or applicable stock exchange rule or any listing agreement of any party hereto (in which case the disclosing party shall use its reasonable best efforts to consult with the other party prior to such disclosure) or is consistent with prior communications previously consented to by the other parties or otherwise permitted to be disclosed pursuant to this section.</w:t>
      </w:r>
    </w:p>
    <w:p>
      <w:pPr>
        <w:spacing w:after="0" w:line="1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6.11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693"/>
        <w:spacing w:after="0" w:line="271" w:lineRule="auto"/>
        <w:tabs>
          <w:tab w:leader="none" w:pos="1508"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Employees of the Company or its Subsidiaries (i) who are not employed by Subsidiaries of the Company performing services outside of the United States or (ii) who are covered by a collective bargaining agreement, and who remain employees of Parent, the Surviving Company or any of their Subsidiaries following the Second Effective Time are hereinafter referred to as the “</w:t>
      </w:r>
      <w:r>
        <w:rPr>
          <w:rFonts w:ascii="Times New Roman" w:cs="Times New Roman" w:eastAsia="Times New Roman" w:hAnsi="Times New Roman"/>
          <w:sz w:val="12"/>
          <w:szCs w:val="12"/>
          <w:b w:val="1"/>
          <w:bCs w:val="1"/>
          <w:color w:val="auto"/>
        </w:rPr>
        <w:t>Continuing Employees</w:t>
      </w:r>
      <w:r>
        <w:rPr>
          <w:rFonts w:ascii="Times New Roman" w:cs="Times New Roman" w:eastAsia="Times New Roman" w:hAnsi="Times New Roman"/>
          <w:sz w:val="12"/>
          <w:szCs w:val="12"/>
          <w:color w:val="auto"/>
        </w:rPr>
        <w:t>”. Except as set forth in</w:t>
      </w:r>
    </w:p>
    <w:p>
      <w:pPr>
        <w:ind w:left="640" w:right="739"/>
        <w:spacing w:after="0" w:line="24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 xml:space="preserve"> of the Company Disclosure Letter, during the period commencing at the Second Effective Time and ending on the first anniversary of the Closing Date, Parent shall, or shall cause the Surviving Company or any of their respective Affiliates to, provide each Continuing Employee during his or her continued employment with Parent, the Surviving Company or any of their Subsidiaries with: (i) an annual</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5" w:name="page86"/>
    <w:bookmarkEnd w:id="85"/>
    <w:p>
      <w:pPr>
        <w:ind w:left="640" w:right="67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base salary or wage rate (as applicable) and (ii) health and retirement benefits that are, substantially comparable in the aggregate to the annual base salary or wage rate (as applicable) and health and retirement benefits provided either (x) to such Continuing Employee immediately prior to the First Effective Time or (y) by Parent and its Subsidiaries to its similarly situated employees following Closing, as determined by Parent in its sole discretion. For clarity, the commitments contained in this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xml:space="preserve"> shall exclude equity or equity-based arrangements, change in control, severance, retention or similar benefits, supplemental retirement arrangements, deferred compensation arrangements, retiree health and welfare benefits or defined benefit pension plans, incentives and bonuses. During the period commencing at the Second Effective Time and ending on the first anniversary of the Closing Date, Parent shall, and shall cause the Surviving Company and its Subsidiaries to, (i) with respect to any employee of the Company or any of its Subsidiaries providing services in Mexico, maintain employee compensation, benefits and employment conditions in accordance with such Laws and pay any mandatory severance, indemnities or other amounts required under applicable Mexican Law, and (ii) comply with the terms of any collective bargaining agreement with respect to those employees of the Company or its Subsidiaries who are subject to such collective bargaining agreement. Parent shall implement, for a period commencing as of the Closing and ending on the first anniversary of the Closing Date, a severance plan providing Continuing Employees with severance protection in the case of a termination by the Surviving Company (or its Affiliate employing such Continuing Employee) without “cause” (as determined by the Surviving Company), subject to the terminated Continuing Employee’s timely execution and non-revocation of an effective waiver and release of claims in a form prescribed by the Company, to severance of no less than two (2) weeks of base salary or wage rate, as applicable, for each full year of such Continuing Employee’s employment with the Company and its Affiliates (including the Surviving Company), up to a maximum of twenty-six (26) weeks’ base salary or wage rate, as applicable. No later than two (2) Business Days prior to the First Effective Time, Parent shall deliver to the Company a resolution of the Parent Board evidencing the adoption of such severance plan, together with a certificate of the corporate secretary of Parent certifying as to the due adoption and effectiveness of such severance plan and a copy of such plan.</w:t>
      </w:r>
    </w:p>
    <w:p>
      <w:pPr>
        <w:spacing w:after="0" w:line="128" w:lineRule="exact"/>
        <w:rPr>
          <w:sz w:val="20"/>
          <w:szCs w:val="20"/>
          <w:color w:val="auto"/>
        </w:rPr>
      </w:pPr>
    </w:p>
    <w:p>
      <w:pPr>
        <w:ind w:left="640" w:right="679" w:firstLine="693"/>
        <w:spacing w:after="0" w:line="265" w:lineRule="auto"/>
        <w:tabs>
          <w:tab w:leader="none" w:pos="1515"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determining eligibility to participate, vesting and entitlement to benefits, where length of service is relevant under any benefit plan or arrangement (including the Parent severance policy referred to in </w:t>
      </w:r>
      <w:r>
        <w:rPr>
          <w:rFonts w:ascii="Times New Roman" w:cs="Times New Roman" w:eastAsia="Times New Roman" w:hAnsi="Times New Roman"/>
          <w:sz w:val="12"/>
          <w:szCs w:val="12"/>
          <w:u w:val="single" w:color="auto"/>
          <w:color w:val="auto"/>
        </w:rPr>
        <w:t>Section 6.11(a)</w:t>
      </w:r>
      <w:r>
        <w:rPr>
          <w:rFonts w:ascii="Times New Roman" w:cs="Times New Roman" w:eastAsia="Times New Roman" w:hAnsi="Times New Roman"/>
          <w:sz w:val="12"/>
          <w:szCs w:val="12"/>
          <w:color w:val="auto"/>
        </w:rPr>
        <w:t>), the Surviving Company or any of their respective Subsidiaries providing benefits to any Continuing Employees after the Second Effective Time (collectively, the “</w:t>
      </w:r>
      <w:r>
        <w:rPr>
          <w:rFonts w:ascii="Times New Roman" w:cs="Times New Roman" w:eastAsia="Times New Roman" w:hAnsi="Times New Roman"/>
          <w:sz w:val="12"/>
          <w:szCs w:val="12"/>
          <w:b w:val="1"/>
          <w:bCs w:val="1"/>
          <w:color w:val="auto"/>
        </w:rPr>
        <w:t>New Plans</w:t>
      </w:r>
      <w:r>
        <w:rPr>
          <w:rFonts w:ascii="Times New Roman" w:cs="Times New Roman" w:eastAsia="Times New Roman" w:hAnsi="Times New Roman"/>
          <w:sz w:val="12"/>
          <w:szCs w:val="12"/>
          <w:color w:val="auto"/>
        </w:rPr>
        <w:t xml:space="preserve">”), Parent shall, in good faith, use commercially reasonable efforts so that Continuing Employees shall receive service credit for service with the Company and its Subsidiaries (and any respective predecessors) to the same extent such service credit was granted under any benefit plan or arrangement of the Company or any of its Subsidiaries, except to the extent any such service credit would result in the duplication of benefits;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foregoing shall not apply for benefit accrual purposes under any defined benefit pension plan (whether or not tax-qualified), retiree medical plan or similar New Plans. In addition and without limiting the generality of the foregoing, as applicable: (i) Parent shall, in good faith, use commercially reasonable efforts so that each Continuing Employee shall be immediately eligible to participate, without any waiting time or satisfaction of any other eligibility requirements, in any and all New Plans to the extent that (A) coverage under such New Plan replaces coverage under a corresponding benefit plan or arrangement providing analogous benefits in which such Continuing Employee participated immediately before the First Effective Time (collectively, the “</w:t>
      </w:r>
      <w:r>
        <w:rPr>
          <w:rFonts w:ascii="Times New Roman" w:cs="Times New Roman" w:eastAsia="Times New Roman" w:hAnsi="Times New Roman"/>
          <w:sz w:val="12"/>
          <w:szCs w:val="12"/>
          <w:b w:val="1"/>
          <w:bCs w:val="1"/>
          <w:color w:val="auto"/>
        </w:rPr>
        <w:t>Old Plans</w:t>
      </w:r>
      <w:r>
        <w:rPr>
          <w:rFonts w:ascii="Times New Roman" w:cs="Times New Roman" w:eastAsia="Times New Roman" w:hAnsi="Times New Roman"/>
          <w:sz w:val="12"/>
          <w:szCs w:val="12"/>
          <w:color w:val="auto"/>
        </w:rPr>
        <w:t>”) and</w:t>
      </w:r>
    </w:p>
    <w:p>
      <w:pPr>
        <w:spacing w:after="0" w:line="4" w:lineRule="exact"/>
        <w:rPr>
          <w:rFonts w:ascii="Times New Roman" w:cs="Times New Roman" w:eastAsia="Times New Roman" w:hAnsi="Times New Roman"/>
          <w:sz w:val="12"/>
          <w:szCs w:val="12"/>
          <w:color w:val="auto"/>
        </w:rPr>
      </w:pPr>
    </w:p>
    <w:p>
      <w:pPr>
        <w:ind w:left="840" w:hanging="203"/>
        <w:spacing w:after="0"/>
        <w:tabs>
          <w:tab w:leader="none" w:pos="84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Continuing Employee has satisfied all waiting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86" w:name="page87"/>
    <w:bookmarkEnd w:id="86"/>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other eligibility requirements, if any, under such Old Plan being replaced by the New Plan (to the extent that such Continuing Employee was not subject to such limitations under the applicable Old Plan(s)), and (ii) for purposes of each New Plan providing medical, dental, pharmaceutical and/or vision benefits to any Continuing Employee, Parent shall, in good faith, use commercially reasonable efforts to cause (A) all pre-existing condition exclusions and actively-at-work requirements of such New Plan to be waived for such Continuing Employee and his or her covered dependents to the extent such conditions were inapplicable or waived under the replacement Old Plan, and (B) any expenses incurred by any Continuing Employee and his or her covered dependents during the portion of the plan year of the Old Plan ending on the Closing Date to be taken into account under such New Plan for the calendar year in which the Closing Date occurs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137" w:lineRule="exact"/>
        <w:rPr>
          <w:sz w:val="20"/>
          <w:szCs w:val="20"/>
          <w:color w:val="auto"/>
        </w:rPr>
      </w:pPr>
    </w:p>
    <w:p>
      <w:pPr>
        <w:ind w:left="640" w:right="739" w:firstLine="693"/>
        <w:spacing w:after="0" w:line="246"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requested in writing by Parent no later than five (5) Business Days prior to the Closing Date, the Company shall adopt written resolutions to terminate, effective as of no later than the day immediately before the Closing Date, any Company Benefit Plan sponsored by the Company or its Subsidiaries that is intended to qualify as a qualified cash or deferred arrangement within the meaning of Section 401(k) of the Code (a “</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and effective immediately prior to the Closing, (i) all participants in any Company 401(k) Plan shall be fully vested in their account balances and (ii) no Continuing Employee or other Person shall have any right thereafter to contribute any amounts to such Company 401(k) Plan based upon compensation earned after the Closing. The Company will provide Parent with a copy of such proposed resolutions terminating such Company 401(k) Plan prior to adoption thereof by the Company Board for Parent’s review and comment and shall deliver evidence to Parent that the Company Board timely approved such resolutions.</w:t>
      </w:r>
    </w:p>
    <w:p>
      <w:pPr>
        <w:spacing w:after="0" w:line="138"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in this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 xml:space="preserve"> to the contrary, nothing in this Agreement, whether express or implied, shall (i) be treated as an amendment or other modification of any Company Benefit Plan, New Plan or any other employee benefit plans of the Company or Parent or as a guarantee of employment for any employee of the Company or any of its Subsidiaries, (ii) require Parent to continue to employ any particular Continuing Employee following the Closing Date for any particular period of time or prevent or limit Parent from changing terms and conditions of employment, subject to Parent’s compliance with the express covenants set forth herein, or terminating any Continuing Employee, (iii) subject to Parent’s compliance with the express covenants set forth herein, be construed to prohibit Parent from amending or terminating any employee benefit program or any New Plan, and (iv) create any third-party beneficiary rights in any director, officer, employee or individual Person, including any present or former employee, officer, director or individual independent contractor of the Company or any of its Subsidiaries (including any beneficiary or dependent of such individual).</w:t>
      </w:r>
    </w:p>
    <w:p>
      <w:pPr>
        <w:spacing w:after="0" w:line="137" w:lineRule="exact"/>
        <w:rPr>
          <w:rFonts w:ascii="Times New Roman" w:cs="Times New Roman" w:eastAsia="Times New Roman" w:hAnsi="Times New Roman"/>
          <w:sz w:val="13"/>
          <w:szCs w:val="13"/>
          <w:color w:val="auto"/>
        </w:rPr>
      </w:pPr>
    </w:p>
    <w:p>
      <w:pPr>
        <w:ind w:left="640" w:right="939" w:firstLine="693"/>
        <w:spacing w:after="0" w:line="251" w:lineRule="auto"/>
        <w:tabs>
          <w:tab w:leader="none" w:pos="1508"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and shall cause its Subsidiaries to, and Parent shall, reasonably cooperate in satisfying all legal or contractual requirements to provide notice to, or carry out any information and/or consultation procedure with, any employee or groups of employees of the Company or any of its Subsidiaries, or any labor union, labor organization, workers’ association, works council or similar employee representative organization (each, a “</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which is representing any employee of the Company or any of its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31" w:right="1440" w:bottom="1440" w:gutter="0" w:footer="0" w:header="0"/>
        </w:sectPr>
      </w:pPr>
    </w:p>
    <w:bookmarkStart w:id="87" w:name="page88"/>
    <w:bookmarkEnd w:id="87"/>
    <w:p>
      <w:pPr>
        <w:ind w:left="640" w:right="699"/>
        <w:spacing w:after="0" w:line="27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in connection with the transactions contemplated by this Agreement (the “</w:t>
      </w:r>
      <w:r>
        <w:rPr>
          <w:rFonts w:ascii="Times New Roman" w:cs="Times New Roman" w:eastAsia="Times New Roman" w:hAnsi="Times New Roman"/>
          <w:sz w:val="12"/>
          <w:szCs w:val="12"/>
          <w:b w:val="1"/>
          <w:bCs w:val="1"/>
          <w:color w:val="auto"/>
        </w:rPr>
        <w:t>Labor Consultations</w:t>
      </w:r>
      <w:r>
        <w:rPr>
          <w:rFonts w:ascii="Times New Roman" w:cs="Times New Roman" w:eastAsia="Times New Roman" w:hAnsi="Times New Roman"/>
          <w:sz w:val="12"/>
          <w:szCs w:val="12"/>
          <w:color w:val="auto"/>
        </w:rPr>
        <w:t>”). In connection with the Labor Consultations, the Company shall (i) keep Parent fully informed of the status of the Labor Consultations process and shall promptly provide Parent with a true and certified copy of any opinion or statement delivered by an applicable labor or trade union, works council, labor organization or other employee representative, (ii) provide Parent with a reasonable opportunity to review, prior to distribution, any communications delivered to any Labor Organization and consider in good faith Parent’s reasonable comments thereon and (iii) use reasonable best efforts to refrain from, and to cause its Affiliates to refrain from, doing anything that is reasonably likely to prejudice the expeditious completion of any of the Labor Consultations.</w:t>
      </w:r>
    </w:p>
    <w:p>
      <w:pPr>
        <w:spacing w:after="0" w:line="122"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6.12 </w:t>
      </w:r>
      <w:r>
        <w:rPr>
          <w:rFonts w:ascii="Times New Roman" w:cs="Times New Roman" w:eastAsia="Times New Roman" w:hAnsi="Times New Roman"/>
          <w:sz w:val="13"/>
          <w:szCs w:val="13"/>
          <w:u w:val="single" w:color="auto"/>
          <w:color w:val="auto"/>
        </w:rPr>
        <w:t>Financing Cooperation</w:t>
      </w:r>
      <w:r>
        <w:rPr>
          <w:rFonts w:ascii="Times New Roman" w:cs="Times New Roman" w:eastAsia="Times New Roman" w:hAnsi="Times New Roman"/>
          <w:sz w:val="13"/>
          <w:szCs w:val="13"/>
          <w:color w:val="auto"/>
        </w:rPr>
        <w:t>. The Company shall, and shall cause its Subsidiaries to, at the sole expense of Parent, use its commercially reasonable efforts to provide such cooperation as may be reasonably requested by Parent in connection with any financing of the transactions contemplated by this Agreement.</w:t>
      </w:r>
    </w:p>
    <w:p>
      <w:pPr>
        <w:spacing w:after="0" w:line="130" w:lineRule="exact"/>
        <w:rPr>
          <w:sz w:val="20"/>
          <w:szCs w:val="20"/>
          <w:color w:val="auto"/>
        </w:rPr>
      </w:pPr>
    </w:p>
    <w:p>
      <w:pPr>
        <w:ind w:left="640" w:right="73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6.13 </w:t>
      </w:r>
      <w:r>
        <w:rPr>
          <w:rFonts w:ascii="Times New Roman" w:cs="Times New Roman" w:eastAsia="Times New Roman" w:hAnsi="Times New Roman"/>
          <w:sz w:val="13"/>
          <w:szCs w:val="13"/>
          <w:u w:val="single" w:color="auto"/>
          <w:color w:val="auto"/>
        </w:rPr>
        <w:t>No Control of the Company’s Business</w:t>
      </w:r>
      <w:r>
        <w:rPr>
          <w:rFonts w:ascii="Times New Roman" w:cs="Times New Roman" w:eastAsia="Times New Roman" w:hAnsi="Times New Roman"/>
          <w:sz w:val="13"/>
          <w:szCs w:val="13"/>
          <w:color w:val="auto"/>
        </w:rPr>
        <w:t>. Nothing contained in this Agreement shall give Parent, Merger Sub I, Merger Sub II or any of their respective Affiliates, directly or indirectly, the right to control or direct the Company’s or its Subsidiaries’ operations prior to the First Effective Time. Prior to the First Effective Time, the Company shall exercise, consistent with the terms and conditions of this Agreement, complete control and supervision over its and its Subsidiaries’ operations.</w:t>
      </w:r>
    </w:p>
    <w:p>
      <w:pPr>
        <w:spacing w:after="0" w:line="133" w:lineRule="exact"/>
        <w:rPr>
          <w:sz w:val="20"/>
          <w:szCs w:val="20"/>
          <w:color w:val="auto"/>
        </w:rPr>
      </w:pPr>
    </w:p>
    <w:p>
      <w:pPr>
        <w:ind w:left="640" w:right="779" w:firstLine="309"/>
        <w:spacing w:after="0" w:line="272" w:lineRule="auto"/>
        <w:rPr>
          <w:sz w:val="20"/>
          <w:szCs w:val="20"/>
          <w:color w:val="auto"/>
        </w:rPr>
      </w:pPr>
      <w:r>
        <w:rPr>
          <w:rFonts w:ascii="Times New Roman" w:cs="Times New Roman" w:eastAsia="Times New Roman" w:hAnsi="Times New Roman"/>
          <w:sz w:val="12"/>
          <w:szCs w:val="12"/>
          <w:color w:val="auto"/>
        </w:rPr>
        <w:t xml:space="preserve">Section 6.14 </w:t>
      </w:r>
      <w:r>
        <w:rPr>
          <w:rFonts w:ascii="Times New Roman" w:cs="Times New Roman" w:eastAsia="Times New Roman" w:hAnsi="Times New Roman"/>
          <w:sz w:val="12"/>
          <w:szCs w:val="12"/>
          <w:u w:val="single" w:color="auto"/>
          <w:color w:val="auto"/>
        </w:rPr>
        <w:t>Rule 16b-3 Matters</w:t>
      </w:r>
      <w:r>
        <w:rPr>
          <w:rFonts w:ascii="Times New Roman" w:cs="Times New Roman" w:eastAsia="Times New Roman" w:hAnsi="Times New Roman"/>
          <w:sz w:val="12"/>
          <w:szCs w:val="12"/>
          <w:color w:val="auto"/>
        </w:rPr>
        <w:t>. Prior to the First Effective Time, the Company shall take such further actions, if any, as may be reasonably necessary or appropriate to ensure that (a) the dispositions of equity securities of the Company (including any derivative securities) pursuant to the transactions contemplated by this Agreement by any officer or director of the Company who is subject to Section 16 of the Exchange Act are exempt under Rule 16b-3 promulgated under the Exchange Act and (b) any acquisitions of Parent Shares (including derivative securities related to such stock) resulting from the Mergers and the other transactions contemplated by this Agreement by each individual who may become subject to the reporting requirements of Section 16(a) of the Exchange Act with respect to Parent are exempt under Rule 16b-3 promulgated under the Exchange Act.</w:t>
      </w:r>
    </w:p>
    <w:p>
      <w:pPr>
        <w:spacing w:after="0" w:line="123" w:lineRule="exact"/>
        <w:rPr>
          <w:sz w:val="20"/>
          <w:szCs w:val="20"/>
          <w:color w:val="auto"/>
        </w:rPr>
      </w:pPr>
    </w:p>
    <w:p>
      <w:pPr>
        <w:ind w:left="640" w:right="67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6.15 </w:t>
      </w:r>
      <w:r>
        <w:rPr>
          <w:rFonts w:ascii="Times New Roman" w:cs="Times New Roman" w:eastAsia="Times New Roman" w:hAnsi="Times New Roman"/>
          <w:sz w:val="13"/>
          <w:szCs w:val="13"/>
          <w:u w:val="single" w:color="auto"/>
          <w:color w:val="auto"/>
        </w:rPr>
        <w:t>Stock Exchange Matters</w:t>
      </w:r>
      <w:r>
        <w:rPr>
          <w:rFonts w:ascii="Times New Roman" w:cs="Times New Roman" w:eastAsia="Times New Roman" w:hAnsi="Times New Roman"/>
          <w:sz w:val="13"/>
          <w:szCs w:val="13"/>
          <w:color w:val="auto"/>
        </w:rPr>
        <w:t xml:space="preserve">. Parent shall, and the Company shall cooperate with Parent to, cause the Company’s securities to be delisted from NASDAQ and deregistered under the Exchange Act as soon as practicable following the First Effective Time;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delisting and termination shall not be effective until after the First Effective Time. Prior to the First Effective Time, Parent shall, and the Company shall cooperate with Parent to, use reasonable best efforts to cause the Parent Shares to be issued in the First Merger and such other Parent Shares to be reserved for issuance in connection with the First Merger to be approved for listing on NASDAQ, subject to official notice of issuance.</w:t>
      </w:r>
    </w:p>
    <w:p>
      <w:pPr>
        <w:spacing w:after="0" w:line="134" w:lineRule="exact"/>
        <w:rPr>
          <w:sz w:val="20"/>
          <w:szCs w:val="20"/>
          <w:color w:val="auto"/>
        </w:rPr>
      </w:pPr>
    </w:p>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6.16 </w:t>
      </w:r>
      <w:r>
        <w:rPr>
          <w:rFonts w:ascii="Times New Roman" w:cs="Times New Roman" w:eastAsia="Times New Roman" w:hAnsi="Times New Roman"/>
          <w:sz w:val="13"/>
          <w:szCs w:val="13"/>
          <w:u w:val="single" w:color="auto"/>
          <w:color w:val="auto"/>
        </w:rPr>
        <w:t>Director Resignations</w:t>
      </w:r>
      <w:r>
        <w:rPr>
          <w:rFonts w:ascii="Times New Roman" w:cs="Times New Roman" w:eastAsia="Times New Roman" w:hAnsi="Times New Roman"/>
          <w:sz w:val="13"/>
          <w:szCs w:val="13"/>
          <w:color w:val="auto"/>
        </w:rPr>
        <w:t>. The Company shall use its reasonable best efforts to obtain and deliver to Parent resignations executed by each director of the Company, in each case, as in office as of immediately prior to the First Effective Time and which such resignations shall be effective upon (and conditioned upon) the First Effective Time.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29" w:right="1440" w:bottom="1440" w:gutter="0" w:footer="0" w:header="0"/>
        </w:sectPr>
      </w:pPr>
    </w:p>
    <w:bookmarkStart w:id="88" w:name="page89"/>
    <w:bookmarkEnd w:id="88"/>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6.17 </w:t>
      </w:r>
      <w:r>
        <w:rPr>
          <w:rFonts w:ascii="Times New Roman" w:cs="Times New Roman" w:eastAsia="Times New Roman" w:hAnsi="Times New Roman"/>
          <w:sz w:val="13"/>
          <w:szCs w:val="13"/>
          <w:u w:val="single" w:color="auto"/>
          <w:color w:val="auto"/>
        </w:rPr>
        <w:t>Takeover Laws</w:t>
      </w:r>
      <w:r>
        <w:rPr>
          <w:rFonts w:ascii="Times New Roman" w:cs="Times New Roman" w:eastAsia="Times New Roman" w:hAnsi="Times New Roman"/>
          <w:sz w:val="13"/>
          <w:szCs w:val="13"/>
          <w:color w:val="auto"/>
        </w:rPr>
        <w:t>. If any state takeover statute becomes or is deemed to become applicable to the Company, Parent, Merger Sub I, Merger Sub II or the Mergers or the other transactions contemplated by this Agreement, then the Company and Parent shall grant such approvals and take any and all actions necessary to render such statutes inapplicable to the foregoing or so that the transactions contemplated by this Agreement may be consummated as promptly as practicable on the terms contemplated hereby.</w:t>
      </w:r>
    </w:p>
    <w:p>
      <w:pPr>
        <w:spacing w:after="0" w:line="133" w:lineRule="exact"/>
        <w:rPr>
          <w:sz w:val="20"/>
          <w:szCs w:val="20"/>
          <w:color w:val="auto"/>
        </w:rPr>
      </w:pPr>
    </w:p>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t xml:space="preserve">Section 6.18 </w:t>
      </w:r>
      <w:r>
        <w:rPr>
          <w:rFonts w:ascii="Times New Roman" w:cs="Times New Roman" w:eastAsia="Times New Roman" w:hAnsi="Times New Roman"/>
          <w:sz w:val="12"/>
          <w:szCs w:val="12"/>
          <w:u w:val="single" w:color="auto"/>
          <w:color w:val="auto"/>
        </w:rPr>
        <w:t>Certain Litigation</w:t>
      </w:r>
      <w:r>
        <w:rPr>
          <w:rFonts w:ascii="Times New Roman" w:cs="Times New Roman" w:eastAsia="Times New Roman" w:hAnsi="Times New Roman"/>
          <w:sz w:val="12"/>
          <w:szCs w:val="12"/>
          <w:color w:val="auto"/>
        </w:rPr>
        <w:t xml:space="preserve">. The Company shall promptly advise Parent of any Action commenced after the date hereof against the Company and/or any of its directors (in their capacity as such) by any Company stockholders (on their own behalf or on behalf of the Company) relating to this Agreement or the transactions contemplated hereby and shall keep Parent reasonably informed regarding any such Action. The Company shall give Parent the opportunity to consult with the Company regarding, or participate in, the defense or settlement of any such Action, and shall give reasonable and good faith consideration to Parent’s advice with respect to such Action. The Company may not enter into any settlement agreement in respect of such Action against the Company and/or its directors or officers relating to this Agreement or any of the other transactions contemplated hereby without Parent’s prior written consent. In the event of, and to the extent of, any conflict or overlap between the provisions of this </w:t>
      </w:r>
      <w:r>
        <w:rPr>
          <w:rFonts w:ascii="Times New Roman" w:cs="Times New Roman" w:eastAsia="Times New Roman" w:hAnsi="Times New Roman"/>
          <w:sz w:val="12"/>
          <w:szCs w:val="12"/>
          <w:u w:val="single" w:color="auto"/>
          <w:color w:val="auto"/>
        </w:rPr>
        <w:t>Section 6.18</w:t>
      </w:r>
      <w:r>
        <w:rPr>
          <w:rFonts w:ascii="Times New Roman" w:cs="Times New Roman" w:eastAsia="Times New Roman" w:hAnsi="Times New Roman"/>
          <w:sz w:val="12"/>
          <w:szCs w:val="12"/>
          <w:color w:val="auto"/>
        </w:rPr>
        <w:t xml:space="preserve">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6.1(q)</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u w:val="single" w:color="auto"/>
          <w:color w:val="auto"/>
        </w:rPr>
        <w:t>Section 6.18</w:t>
      </w:r>
      <w:r>
        <w:rPr>
          <w:rFonts w:ascii="Times New Roman" w:cs="Times New Roman" w:eastAsia="Times New Roman" w:hAnsi="Times New Roman"/>
          <w:sz w:val="13"/>
          <w:szCs w:val="13"/>
          <w:color w:val="auto"/>
        </w:rPr>
        <w:t xml:space="preserve"> will control.</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6.19 </w:t>
      </w:r>
      <w:r>
        <w:rPr>
          <w:rFonts w:ascii="Times New Roman" w:cs="Times New Roman" w:eastAsia="Times New Roman" w:hAnsi="Times New Roman"/>
          <w:sz w:val="13"/>
          <w:szCs w:val="13"/>
          <w:u w:val="single" w:color="auto"/>
          <w:color w:val="auto"/>
        </w:rPr>
        <w:t>Tax Treatment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75" w:lineRule="auto"/>
        <w:tabs>
          <w:tab w:leader="none" w:pos="150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U.S. federal income Tax purposes, Parent, Merger Sub I, Merger Sub II and the Company (i) intend this Agreement to meet the requirements of measuring continuity of interest pursuant to Treasury Regulations Section 1.368-1(e)(2)(i), (ii) intend that the Mergers, taken together, qualify for the Intended Tax Treatment, and this Agreement is intended to be and is adopted as a “plan of reorganization” within the meaning of Treasury Regulations Section 1.368-2(g) and for purposes of Sections 354 and 361 of the Code and (iii) shall report the Mergers as a “reorganization” under Section 368(a) of the Code, except to the extent otherwise required pursuant to a “determination” within the meaning of Section 1313(a) of the Code.</w:t>
      </w:r>
    </w:p>
    <w:p>
      <w:pPr>
        <w:spacing w:after="0" w:line="119" w:lineRule="exact"/>
        <w:rPr>
          <w:rFonts w:ascii="Times New Roman" w:cs="Times New Roman" w:eastAsia="Times New Roman" w:hAnsi="Times New Roman"/>
          <w:sz w:val="12"/>
          <w:szCs w:val="12"/>
          <w:color w:val="auto"/>
        </w:rPr>
      </w:pPr>
    </w:p>
    <w:p>
      <w:pPr>
        <w:ind w:left="640" w:right="659" w:firstLine="693"/>
        <w:spacing w:after="0" w:line="251" w:lineRule="auto"/>
        <w:tabs>
          <w:tab w:leader="none" w:pos="1515"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the Company and their respective Subsidiaries shall use commercially reasonable efforts to cause the Mergers, taken together, to qualify for the Intended Tax Treatment and shall not take (or knowingly fail to take) any action that would reasonably be expected to prevent or impede such qualification. Each of Parent and the Company shall notify the other party promptly after becoming aware of any reason to believe that the Mergers may not qualify for the Intended Tax Treatment.</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0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in this Agreement to the contrary, if the Threshold Percentage (determined without regard to this sentence) is less than 43%, then an amount of cash otherwise payable to the holders of Company Common Stock under this Agreement (other than to holders of Dissenting Shares), equal to the amount of cash that would be necessary to cause the recomputed Threshold Percentage to equal 43%, shall instead be payable to such holders in an equivalent amount of Parent Shares (with each Parent Share valued for this purpose at the Agreed Parent Share Price); provided that cash shall be payable in respect of fractional shares of Parent Common Stock in accordance with </w:t>
      </w:r>
      <w:r>
        <w:rPr>
          <w:rFonts w:ascii="Times New Roman" w:cs="Times New Roman" w:eastAsia="Times New Roman" w:hAnsi="Times New Roman"/>
          <w:sz w:val="12"/>
          <w:szCs w:val="12"/>
          <w:u w:val="single" w:color="auto"/>
          <w:color w:val="auto"/>
        </w:rPr>
        <w:t>Section 3.6</w:t>
      </w:r>
      <w:r>
        <w:rPr>
          <w:rFonts w:ascii="Times New Roman" w:cs="Times New Roman" w:eastAsia="Times New Roman" w:hAnsi="Times New Roman"/>
          <w:sz w:val="12"/>
          <w:szCs w:val="12"/>
          <w:color w:val="auto"/>
        </w:rPr>
        <w:t xml:space="preserve">. This </w:t>
      </w:r>
      <w:r>
        <w:rPr>
          <w:rFonts w:ascii="Times New Roman" w:cs="Times New Roman" w:eastAsia="Times New Roman" w:hAnsi="Times New Roman"/>
          <w:sz w:val="12"/>
          <w:szCs w:val="12"/>
          <w:u w:val="single" w:color="auto"/>
          <w:color w:val="auto"/>
        </w:rPr>
        <w:t>Section 6.19(c)</w:t>
      </w:r>
      <w:r>
        <w:rPr>
          <w:rFonts w:ascii="Times New Roman" w:cs="Times New Roman" w:eastAsia="Times New Roman" w:hAnsi="Times New Roman"/>
          <w:sz w:val="12"/>
          <w:szCs w:val="12"/>
          <w:color w:val="auto"/>
        </w:rPr>
        <w:t xml:space="preserve"> (including the defined terms used herein) is intended to cause this Agreement to satisfy the requirements of Treasury Regulations Section 1.368-1(e) (treating not less than 40% as a “substantial part” solely for such purpose) and shall be interpreted in a manner consistent therewith.</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89" w:name="page90"/>
    <w:bookmarkEnd w:id="89"/>
    <w:p>
      <w:pPr>
        <w:ind w:left="640" w:right="699" w:firstLine="693"/>
        <w:spacing w:after="0" w:line="267" w:lineRule="auto"/>
        <w:tabs>
          <w:tab w:leader="none" w:pos="1515"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parties acknowledge and agree that for purposes of determining the value of Parent Shares to be received by stockholders of the Company pursuant to the transactions contemplated by this Agreement under Revenue Procedure 2018-12, 2018-6 IRB 349 (“Rev. Proc. 2018-12”), (i) the “Safe Harbor Valuation Method” within the meaning of Rev. Proc. 2018-12 will be the Average of the Daily Volume Weighted Average Prices as described in Section 4.01(1) of Rev. Proc. 2018-12; (ii) the “Measuring Period” within the meaning of Section 4.02 of Rev. Proc. 2018-12 will be the thirty (30) consecutive Trading Days ending on (and including) the last Trading Day prior to the date of this Agreement; (iii) the “national securities exchange” within the meaning of Section 3.01(4)(a)(ii) of Rev. Proc. 2018-12 will be NASDAQ; and (iv) the “authoritative reporting source” within the meaning of Section 3.01(4)(a)(ii) of Rev. Proc. 2018-12 will be Bloomberg Finance L.P. The parties further agree that the valuation of Parent Shares by reference to the methodology described in this </w:t>
      </w:r>
      <w:r>
        <w:rPr>
          <w:rFonts w:ascii="Times New Roman" w:cs="Times New Roman" w:eastAsia="Times New Roman" w:hAnsi="Times New Roman"/>
          <w:sz w:val="12"/>
          <w:szCs w:val="12"/>
          <w:u w:val="single" w:color="auto"/>
          <w:color w:val="auto"/>
        </w:rPr>
        <w:t>Section 6.19(d)</w:t>
      </w:r>
      <w:r>
        <w:rPr>
          <w:rFonts w:ascii="Times New Roman" w:cs="Times New Roman" w:eastAsia="Times New Roman" w:hAnsi="Times New Roman"/>
          <w:sz w:val="12"/>
          <w:szCs w:val="12"/>
          <w:color w:val="auto"/>
        </w:rPr>
        <w:t xml:space="preserve"> is intended to qualify for the “Safe Harbor Valuation Method” within the meaning of Section 4.01(1) of Rev. Proc. 2018-12 and no party shall take any position for Tax purposes inconsistent therewith, except to the extent otherwise required by a change in law after the date hereof or pursuant to a “determination” within the meaning of Section 1313(a) of the Code. For the avoidance of doubt, the Agreed Parent Share Price represents the average of the daily volume-weighted average sales price per share of Parent Shares on NASDAQ, as reported by Bloomberg Finance L.P., determined without regard to after-hours trading or any other trading outside the regular trading session trading hours for each of the Trading Days included in the Measuring Period.</w:t>
      </w:r>
    </w:p>
    <w:p>
      <w:pPr>
        <w:spacing w:after="0" w:line="280"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08"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Parent, Merger Sub I, Merger Sub II and the Company shall use its reasonable best efforts and will cooperate in good faith with one another to obtain the tax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In connection therewith, Parent shall deliver to Latham &amp; Watkins LLP, counsel to Parent (“</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and Cozen O’Connor, counsel to the Company (“</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Parent (the “</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and the Company shall deliver to Parent’s Counsel and Company’s Counsel a representation letter dated as of the Closing Date (and, if requested, dated as of the date the registration statement shall have been declared effective by the SEC or such other date(s) as determined necessary by counsel in connection with the filing of the registration statement or its exhibits) and signed by an officer of the Company (the “</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the representation letter shall contain such customary representations, warranties and covenants as are reasonably necessary or appropriate to allow each of Parent’s Counsel and Company’s Counsel to provide the opinions of counsel referred to in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0" w:name="page91"/>
    <w:bookmarkEnd w:id="90"/>
    <w:p>
      <w:pPr>
        <w:ind w:left="640" w:right="659" w:firstLine="30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6.20 </w:t>
      </w:r>
      <w:r>
        <w:rPr>
          <w:rFonts w:ascii="Times New Roman" w:cs="Times New Roman" w:eastAsia="Times New Roman" w:hAnsi="Times New Roman"/>
          <w:sz w:val="12"/>
          <w:szCs w:val="12"/>
          <w:u w:val="single" w:color="auto"/>
          <w:color w:val="auto"/>
        </w:rPr>
        <w:t>Payoff Letter Delivery</w:t>
      </w:r>
      <w:r>
        <w:rPr>
          <w:rFonts w:ascii="Times New Roman" w:cs="Times New Roman" w:eastAsia="Times New Roman" w:hAnsi="Times New Roman"/>
          <w:sz w:val="12"/>
          <w:szCs w:val="12"/>
          <w:color w:val="auto"/>
        </w:rPr>
        <w:t>. On or prior to the Closing Date, the Company shall deliver or caused to be delivered to Parent a fully executed copy of a customary payoff letter with respect to the WF Credit Agreement (a “</w:t>
      </w:r>
      <w:r>
        <w:rPr>
          <w:rFonts w:ascii="Times New Roman" w:cs="Times New Roman" w:eastAsia="Times New Roman" w:hAnsi="Times New Roman"/>
          <w:sz w:val="12"/>
          <w:szCs w:val="12"/>
          <w:b w:val="1"/>
          <w:bCs w:val="1"/>
          <w:color w:val="auto"/>
        </w:rPr>
        <w:t>Payoff Letter</w:t>
      </w:r>
      <w:r>
        <w:rPr>
          <w:rFonts w:ascii="Times New Roman" w:cs="Times New Roman" w:eastAsia="Times New Roman" w:hAnsi="Times New Roman"/>
          <w:sz w:val="12"/>
          <w:szCs w:val="12"/>
          <w:color w:val="auto"/>
        </w:rPr>
        <w:t>”), together with UCC-3 financing statements and all other applicable Lien release documentation, in each case, in form and substance reasonably acceptable to Parent (with a draft of such Payoff Letter, UCC-3 financing statements and other Lien release documentation delivered to Parent no fewer than ten (10) Business Days prior to the Closing Date), which Payoff Letter will (a) provide that upon receipt of the applicable payoff amount set forth therein (including any applicable per diem), (i) the WF Credit Agreement and all related loan documents (as applicable) shall be terminated, (ii) all indebtedness and obligations under and in connection therewith shall be repaid in full, and (iii) all Liens (if any) and all guarantees in connection therewith relating to the assets and properties of the Company and its Subsidiaries securing such indebtedness and obligations shall be released and terminated, and (b) provide for the return of all possessory collateral (if any) in connection with such indebtedness (to the extent reasonably practicable, on the Closing Date) and that customary UCC-3 financing statements and other applicable Lien release documentation with respect thereto may be filed or delivered, as applicable.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CONDITIONS TO THE MERGERS</w:t>
      </w:r>
    </w:p>
    <w:p>
      <w:pPr>
        <w:spacing w:after="0" w:line="156" w:lineRule="exact"/>
        <w:rPr>
          <w:sz w:val="20"/>
          <w:szCs w:val="20"/>
          <w:color w:val="auto"/>
        </w:rPr>
      </w:pPr>
    </w:p>
    <w:p>
      <w:pPr>
        <w:jc w:val="both"/>
        <w:ind w:left="640" w:right="8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7.1 </w:t>
      </w:r>
      <w:r>
        <w:rPr>
          <w:rFonts w:ascii="Times New Roman" w:cs="Times New Roman" w:eastAsia="Times New Roman" w:hAnsi="Times New Roman"/>
          <w:sz w:val="13"/>
          <w:szCs w:val="13"/>
          <w:u w:val="single" w:color="auto"/>
          <w:color w:val="auto"/>
        </w:rPr>
        <w:t>Conditions to the Obligations of Each Party</w:t>
      </w:r>
      <w:r>
        <w:rPr>
          <w:rFonts w:ascii="Times New Roman" w:cs="Times New Roman" w:eastAsia="Times New Roman" w:hAnsi="Times New Roman"/>
          <w:sz w:val="13"/>
          <w:szCs w:val="13"/>
          <w:color w:val="auto"/>
        </w:rPr>
        <w:t>. The respective obligations of each party to consummate the Mergers are subject to the satisfaction or (to the extent not prohibited by Law) waiver by the Company, Parent, Merger Sub I and Merger Sub II at or prior to the First Effective Time of the following conditions:</w:t>
      </w:r>
    </w:p>
    <w:p>
      <w:pPr>
        <w:spacing w:after="0" w:line="130" w:lineRule="exact"/>
        <w:rPr>
          <w:sz w:val="20"/>
          <w:szCs w:val="20"/>
          <w:color w:val="auto"/>
        </w:rPr>
      </w:pPr>
    </w:p>
    <w:p>
      <w:pPr>
        <w:ind w:left="1500" w:hanging="167"/>
        <w:spacing w:after="0"/>
        <w:tabs>
          <w:tab w:leader="none" w:pos="1500"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and the Requisite Parent Stockholder Approval shall have been obtained;</w:t>
      </w:r>
    </w:p>
    <w:p>
      <w:pPr>
        <w:spacing w:after="0" w:line="153"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1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any waiting period applicable to the consummation of the Mergers under the HSR Act, and any commitment to, or agreement with, any Governmental Authority to delay the consummation of, or not to consummate before a certain date, the Mergers, shall have expired or been terminated or early termination thereof shall have been granted, and (ii) the applicable waiting periods (or any extensions thereof) or clearance, as applicable, under the Antitrust Laws of the jurisdictions set forth on </w:t>
      </w:r>
      <w:r>
        <w:rPr>
          <w:rFonts w:ascii="Times New Roman" w:cs="Times New Roman" w:eastAsia="Times New Roman" w:hAnsi="Times New Roman"/>
          <w:sz w:val="13"/>
          <w:szCs w:val="13"/>
          <w:u w:val="single" w:color="auto"/>
          <w:color w:val="auto"/>
        </w:rPr>
        <w:t>Section 6.4(a)</w:t>
      </w:r>
      <w:r>
        <w:rPr>
          <w:rFonts w:ascii="Times New Roman" w:cs="Times New Roman" w:eastAsia="Times New Roman" w:hAnsi="Times New Roman"/>
          <w:sz w:val="13"/>
          <w:szCs w:val="13"/>
          <w:color w:val="auto"/>
        </w:rPr>
        <w:t xml:space="preserve"> of the Company Disclosure Letter shall have expired, been terminated or been obtained;</w:t>
      </w:r>
    </w:p>
    <w:p>
      <w:pPr>
        <w:spacing w:after="0" w:line="134" w:lineRule="exact"/>
        <w:rPr>
          <w:rFonts w:ascii="Times New Roman" w:cs="Times New Roman" w:eastAsia="Times New Roman" w:hAnsi="Times New Roman"/>
          <w:sz w:val="13"/>
          <w:szCs w:val="13"/>
          <w:color w:val="auto"/>
        </w:rPr>
      </w:pPr>
    </w:p>
    <w:p>
      <w:pPr>
        <w:ind w:left="640" w:right="839" w:firstLine="693"/>
        <w:spacing w:after="0" w:line="286" w:lineRule="auto"/>
        <w:tabs>
          <w:tab w:leader="none" w:pos="1508"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(i) Law or Order shall have been issued, entered, promulgated or enacted that restrains, enjoins, or otherwise prohibits or makes illegal the consummation of the Mergers and remains in force or (ii) injunction, Order or award restraining or enjoining, or otherwise prohibiting, the consummation of the Mergers shall have been issued by any Governmental Authority having jurisdiction over any party and remain in force;</w:t>
      </w:r>
    </w:p>
    <w:p>
      <w:pPr>
        <w:spacing w:after="0" w:line="113" w:lineRule="exact"/>
        <w:rPr>
          <w:rFonts w:ascii="Times New Roman" w:cs="Times New Roman" w:eastAsia="Times New Roman" w:hAnsi="Times New Roman"/>
          <w:sz w:val="12"/>
          <w:szCs w:val="12"/>
          <w:color w:val="auto"/>
        </w:rPr>
      </w:pPr>
    </w:p>
    <w:p>
      <w:pPr>
        <w:ind w:left="640" w:right="699" w:firstLine="693"/>
        <w:spacing w:after="0" w:line="267" w:lineRule="auto"/>
        <w:tabs>
          <w:tab w:leader="none" w:pos="151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Shares to be issued in the First Merger and such other Parent Shares to be reserved for issuance in connection with the First Merger shall have been approved for listing on NASDAQ, subject to official notice of issuance; and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55" w:lineRule="auto"/>
        <w:tabs>
          <w:tab w:leader="none" w:pos="1508"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Form S-4 shall have been declared effective by the SEC under the Securities Act, no stop order suspending the effectiveness of the Form S-4 shall have been issued by the SEC and remains in effect, and no proceedings for that purpose shall have been initiated or threatened (and not withdrawn) by the SEC.</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1" w:name="page92"/>
    <w:bookmarkEnd w:id="91"/>
    <w:p>
      <w:pPr>
        <w:jc w:val="both"/>
        <w:ind w:left="640" w:right="77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7.2 </w:t>
      </w:r>
      <w:r>
        <w:rPr>
          <w:rFonts w:ascii="Times New Roman" w:cs="Times New Roman" w:eastAsia="Times New Roman" w:hAnsi="Times New Roman"/>
          <w:sz w:val="13"/>
          <w:szCs w:val="13"/>
          <w:u w:val="single" w:color="auto"/>
          <w:color w:val="auto"/>
        </w:rPr>
        <w:t>Conditions to Obligations of Parent, Merger Sub I and Merger Sub II to Effect the Mergers</w:t>
      </w:r>
      <w:r>
        <w:rPr>
          <w:rFonts w:ascii="Times New Roman" w:cs="Times New Roman" w:eastAsia="Times New Roman" w:hAnsi="Times New Roman"/>
          <w:sz w:val="13"/>
          <w:szCs w:val="13"/>
          <w:color w:val="auto"/>
        </w:rPr>
        <w:t xml:space="preserve">. The obligations of Parent, Merger Sub I and Merger Sub II to effect the Mergers are,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Parent at or prior to the First Effective Time of the following conditions:</w:t>
      </w:r>
    </w:p>
    <w:p>
      <w:pPr>
        <w:spacing w:after="0" w:line="128" w:lineRule="exact"/>
        <w:rPr>
          <w:sz w:val="20"/>
          <w:szCs w:val="20"/>
          <w:color w:val="auto"/>
        </w:rPr>
      </w:pPr>
    </w:p>
    <w:p>
      <w:pPr>
        <w:ind w:left="640" w:right="659" w:firstLine="693"/>
        <w:spacing w:after="0" w:line="245"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representations and warranties of the Company contained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 xml:space="preserve">) shall be true and correct in all but de minimis respects as of the date of this Agreement and as of the Closing Date (except to the extent such representations and warranties are expressly made as of a specific date, in which case such representations and warranties shall be so true and correct as of such specific date only); (iii) each of the representations and warranties of the Company contained in </w:t>
      </w:r>
      <w:r>
        <w:rPr>
          <w:rFonts w:ascii="Times New Roman" w:cs="Times New Roman" w:eastAsia="Times New Roman" w:hAnsi="Times New Roman"/>
          <w:sz w:val="13"/>
          <w:szCs w:val="13"/>
          <w:u w:val="single" w:color="auto"/>
          <w:color w:val="auto"/>
        </w:rPr>
        <w:t>Section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 Qualification; Subsidiaries)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Authority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Vote 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Fairness Opinion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Brokers)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4.24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Takeover Statutes)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4.27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Ownership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 shall be true and correct in all material respects as of the date of this Agreement and as of the Closing Date (except to the extent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representations and warranties are expressly made as of a specific date, in which case such representations and warranties shall be so true and correct as of such specific date only); and (iv) all other representations and warranties of the Company contained in </w:t>
      </w:r>
      <w:r>
        <w:rPr>
          <w:rFonts w:ascii="Times New Roman" w:cs="Times New Roman" w:eastAsia="Times New Roman" w:hAnsi="Times New Roman"/>
          <w:sz w:val="13"/>
          <w:szCs w:val="13"/>
          <w:u w:val="single" w:color="auto"/>
          <w:color w:val="auto"/>
        </w:rPr>
        <w:t>Article IV</w:t>
      </w:r>
      <w:r>
        <w:rPr>
          <w:rFonts w:ascii="Times New Roman" w:cs="Times New Roman" w:eastAsia="Times New Roman" w:hAnsi="Times New Roman"/>
          <w:sz w:val="13"/>
          <w:szCs w:val="13"/>
          <w:color w:val="auto"/>
        </w:rPr>
        <w:t xml:space="preserve"> of this Agreement, without giving effect to any materiality or “Company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Company Material Adverse Effect;</w:t>
      </w:r>
    </w:p>
    <w:p>
      <w:pPr>
        <w:spacing w:after="0" w:line="140"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the date of this Agreement until the Closing Date, no Company Material Adverse Effect shall have occurred;</w:t>
      </w:r>
    </w:p>
    <w:p>
      <w:pPr>
        <w:spacing w:after="0" w:line="153" w:lineRule="exact"/>
        <w:rPr>
          <w:rFonts w:ascii="Times New Roman" w:cs="Times New Roman" w:eastAsia="Times New Roman" w:hAnsi="Times New Roman"/>
          <w:sz w:val="13"/>
          <w:szCs w:val="13"/>
          <w:color w:val="auto"/>
        </w:rPr>
      </w:pPr>
    </w:p>
    <w:p>
      <w:pPr>
        <w:ind w:left="640" w:right="1079" w:firstLine="693"/>
        <w:spacing w:after="0" w:line="267"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have performed or complied in all material respects with its obligations required under this Agreement to be performed or complied with on or prior to the Closing Date;</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received a tax opinion from Parent’s Counsel, in form and substance reasonably satisfactory to Parent,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7.2(d)</w:t>
      </w:r>
      <w:r>
        <w:rPr>
          <w:rFonts w:ascii="Times New Roman" w:cs="Times New Roman" w:eastAsia="Times New Roman" w:hAnsi="Times New Roman"/>
          <w:sz w:val="13"/>
          <w:szCs w:val="13"/>
          <w:color w:val="auto"/>
        </w:rPr>
        <w:t>, Parent’s Counsel shall be entitled to rely on the Parent Tax Representation Letter and the Company Tax Representation Letter and such other information as Parent’s Counsel reasonably deems relevant; and</w:t>
      </w:r>
    </w:p>
    <w:p>
      <w:pPr>
        <w:spacing w:after="0" w:line="134"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delivered a certificate to Parent, dated as of the Closing Date and duly executed by a senior executive officer (or similar authorized person) of the Company, certifying to the effect that the conditions set forth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7.2(b)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have been satisfied.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2" w:name="page93"/>
    <w:bookmarkEnd w:id="92"/>
    <w:p>
      <w:pPr>
        <w:ind w:left="640" w:right="659" w:firstLine="30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7.3 </w:t>
      </w:r>
      <w:r>
        <w:rPr>
          <w:rFonts w:ascii="Times New Roman" w:cs="Times New Roman" w:eastAsia="Times New Roman" w:hAnsi="Times New Roman"/>
          <w:sz w:val="13"/>
          <w:szCs w:val="13"/>
          <w:u w:val="single" w:color="auto"/>
          <w:color w:val="auto"/>
        </w:rPr>
        <w:t>Conditions to Obligation of the Company to Effect the First Merger</w:t>
      </w:r>
      <w:r>
        <w:rPr>
          <w:rFonts w:ascii="Times New Roman" w:cs="Times New Roman" w:eastAsia="Times New Roman" w:hAnsi="Times New Roman"/>
          <w:sz w:val="13"/>
          <w:szCs w:val="13"/>
          <w:color w:val="auto"/>
        </w:rPr>
        <w:t xml:space="preserve">. The obligation of the Company to effect the First Merger is, in addition to the conditions set forth in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further subject to the satisfaction or (to the extent not prohibited by Law) waiver by the Company at or prior to the First Effective Time of the following conditions:</w:t>
      </w:r>
    </w:p>
    <w:p>
      <w:pPr>
        <w:spacing w:after="0" w:line="128" w:lineRule="exact"/>
        <w:rPr>
          <w:sz w:val="20"/>
          <w:szCs w:val="20"/>
          <w:color w:val="auto"/>
        </w:rPr>
      </w:pPr>
    </w:p>
    <w:p>
      <w:pPr>
        <w:ind w:left="640" w:right="659" w:firstLine="693"/>
        <w:spacing w:after="0" w:line="246"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each of the representations and warranties of Parent, Merger Sub I and Merger Sub II contained in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Organization and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Qualification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Capitalization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Authority Relative to Agreement</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4.4(a)(i)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No Conflict; Required Filings and Consents)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Vote Required), </w:t>
      </w:r>
      <w:r>
        <w:rPr>
          <w:rFonts w:ascii="Times New Roman" w:cs="Times New Roman" w:eastAsia="Times New Roman" w:hAnsi="Times New Roman"/>
          <w:sz w:val="13"/>
          <w:szCs w:val="13"/>
          <w:u w:val="single" w:color="auto"/>
          <w:color w:val="auto"/>
        </w:rPr>
        <w:t>Section 5.6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Shares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4.9(a)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Absence of Certain Changes or Events</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5.16</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Brokers) </w:t>
      </w:r>
      <w:r>
        <w:rPr>
          <w:rFonts w:ascii="Times New Roman" w:cs="Times New Roman" w:eastAsia="Times New Roman" w:hAnsi="Times New Roman"/>
          <w:sz w:val="13"/>
          <w:szCs w:val="13"/>
          <w:color w:val="auto"/>
        </w:rPr>
        <w:t xml:space="preserve">shall be true and correct in all material respects as of the date of this Agreement and as of the Closing Date (except to the extent such representations and warranties are expressly made as of a specific date, in which case such representations and warranties shall be so true and correct as of such specific date only); and (ii) all other representations and warranties of Parent, Merger Sub I and Merger Sub II contained in </w:t>
      </w:r>
      <w:r>
        <w:rPr>
          <w:rFonts w:ascii="Times New Roman" w:cs="Times New Roman" w:eastAsia="Times New Roman" w:hAnsi="Times New Roman"/>
          <w:sz w:val="13"/>
          <w:szCs w:val="13"/>
          <w:u w:val="single" w:color="auto"/>
          <w:color w:val="auto"/>
        </w:rPr>
        <w:t>Article V</w:t>
      </w:r>
      <w:r>
        <w:rPr>
          <w:rFonts w:ascii="Times New Roman" w:cs="Times New Roman" w:eastAsia="Times New Roman" w:hAnsi="Times New Roman"/>
          <w:sz w:val="13"/>
          <w:szCs w:val="13"/>
          <w:color w:val="auto"/>
        </w:rPr>
        <w:t xml:space="preserve"> of this Agreement, without giving effect to any materiality or “Parent Material Adverse Effect” qualifications therein, shall be true and correct as of the date of this Agreement and as of the Closing Date (except to the extent such representations and warranties are expressly made as of a specific date, in which case such representations and warranties shall be so true and correct as of such specific date only), except for such failures to be true and correct as would not reasonably be expected to have, individually or in the aggregate, a Parent Material Adverse Effect.</w:t>
      </w:r>
    </w:p>
    <w:p>
      <w:pPr>
        <w:spacing w:after="0" w:line="137" w:lineRule="exact"/>
        <w:rPr>
          <w:rFonts w:ascii="Times New Roman" w:cs="Times New Roman" w:eastAsia="Times New Roman" w:hAnsi="Times New Roman"/>
          <w:sz w:val="13"/>
          <w:szCs w:val="13"/>
          <w:color w:val="auto"/>
        </w:rPr>
      </w:pPr>
    </w:p>
    <w:p>
      <w:pPr>
        <w:ind w:left="640" w:right="919" w:firstLine="693"/>
        <w:spacing w:after="0" w:line="267"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Merger Sub I and Merger Sub II shall have performed or complied in all material respects with their respective obligations required under this Agreement to be performed or complied with on or prior to the Closing Date; and</w:t>
      </w:r>
    </w:p>
    <w:p>
      <w:pPr>
        <w:spacing w:after="0" w:line="122" w:lineRule="exact"/>
        <w:rPr>
          <w:rFonts w:ascii="Times New Roman" w:cs="Times New Roman" w:eastAsia="Times New Roman" w:hAnsi="Times New Roman"/>
          <w:sz w:val="13"/>
          <w:szCs w:val="13"/>
          <w:color w:val="auto"/>
        </w:rPr>
      </w:pPr>
    </w:p>
    <w:p>
      <w:pPr>
        <w:ind w:left="640" w:right="659" w:firstLine="693"/>
        <w:spacing w:after="0" w:line="267" w:lineRule="auto"/>
        <w:tabs>
          <w:tab w:leader="none" w:pos="1508"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have delivered a certificate to the Company, dated as of the Closing Date and duly executed by a senior executive officer of Parent, certifying to the effect that the conditions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have been satisfied.</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515"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shall have received a written opinion from Company’s Counsel, in form and substance reasonably satisfactory to the Company, dated as of the Closing Date, to the effect that, on the basis of facts, representations and assumptions set forth or referred to in such opinion, for U.S. federal income Tax purposes the Mergers, taken together, will qualify for the Intended Tax Treatment. In rendering the opinion described in this </w:t>
      </w:r>
      <w:r>
        <w:rPr>
          <w:rFonts w:ascii="Times New Roman" w:cs="Times New Roman" w:eastAsia="Times New Roman" w:hAnsi="Times New Roman"/>
          <w:sz w:val="13"/>
          <w:szCs w:val="13"/>
          <w:u w:val="single" w:color="auto"/>
          <w:color w:val="auto"/>
        </w:rPr>
        <w:t>Section 7.3(d)</w:t>
      </w:r>
      <w:r>
        <w:rPr>
          <w:rFonts w:ascii="Times New Roman" w:cs="Times New Roman" w:eastAsia="Times New Roman" w:hAnsi="Times New Roman"/>
          <w:sz w:val="13"/>
          <w:szCs w:val="13"/>
          <w:color w:val="auto"/>
        </w:rPr>
        <w:t>, Company’s Counsel shall be entitled to rely on the Parent Tax Representation Letter and the Company Tax Representation Letter and such other information as Company’s Counsel reasonably deems relevant.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VIII</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TERMINATION, AMENDMENT AND WAIVER</w:t>
      </w:r>
    </w:p>
    <w:p>
      <w:pPr>
        <w:spacing w:after="0" w:line="156" w:lineRule="exact"/>
        <w:rPr>
          <w:sz w:val="20"/>
          <w:szCs w:val="20"/>
          <w:color w:val="auto"/>
        </w:rPr>
      </w:pPr>
    </w:p>
    <w:p>
      <w:pPr>
        <w:jc w:val="both"/>
        <w:ind w:left="640" w:right="8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Notwithstanding anything contained in this Agreement to the contrary, this Agreement may be terminated at any time prior to the First Effective Time, whether before or after the Requisite Company Stockholder Approval or Requisite Parent Stockholder Approval is obtained (except as otherwise expressly noted), as follows: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3" w:name="page94"/>
    <w:bookmarkEnd w:id="93"/>
    <w:p>
      <w:pPr>
        <w:ind w:left="1500" w:hanging="167"/>
        <w:spacing w:after="0"/>
        <w:tabs>
          <w:tab w:leader="none" w:pos="150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by mutual written consent of each of Parent and the Company; or</w:t>
      </w:r>
    </w:p>
    <w:p>
      <w:pPr>
        <w:spacing w:after="0" w:line="153"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45" w:lineRule="auto"/>
        <w:tabs>
          <w:tab w:leader="none" w:pos="1759"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First Merger shall not have been consummated on or before July 14, 2026 (the “</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for any reason;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if on such date,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elect to extend the Termination Date for a period of ninety (90) days, and (B) if on such date as extended pursuant to the foregoing clause (A),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 that</w:t>
      </w:r>
      <w:r>
        <w:rPr>
          <w:rFonts w:ascii="Times New Roman" w:cs="Times New Roman" w:eastAsia="Times New Roman" w:hAnsi="Times New Roman"/>
          <w:sz w:val="13"/>
          <w:szCs w:val="13"/>
          <w:color w:val="auto"/>
        </w:rPr>
        <w:t xml:space="preserve"> such conditions would have been so satisfied if the Closing would have occurred on or before the date of termination), then Parent may, in its sole discretion and upon written notice to the Company prior to the Termination Date as extended, elect to extend the Termination Date for an additional period of ninety (90) days;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pursuant to this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shall not be available to any party hereto (which shall include, in the case of Parent, Parent, Merger Sub I and Merger Sub II) whose breach of its obligations under this Agreement has been a principal cause of or resulted in the failure of the First Effective Time to occur on or before the date of such termination;</w:t>
      </w:r>
    </w:p>
    <w:p>
      <w:pPr>
        <w:spacing w:after="0" w:line="62" w:lineRule="exact"/>
        <w:rPr>
          <w:rFonts w:ascii="Times New Roman" w:cs="Times New Roman" w:eastAsia="Times New Roman" w:hAnsi="Times New Roman"/>
          <w:sz w:val="13"/>
          <w:szCs w:val="13"/>
          <w:color w:val="auto"/>
        </w:rPr>
      </w:pPr>
    </w:p>
    <w:p>
      <w:pPr>
        <w:ind w:left="940" w:right="739" w:firstLine="675"/>
        <w:spacing w:after="0" w:line="248" w:lineRule="auto"/>
        <w:tabs>
          <w:tab w:leader="none" w:pos="1794"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the First Effective Time, any Governmental Authority shall have enacted, issued, promulgated, enforced or entered any Law or Order or taken any other action permanently restraining, enjoining, rendering illegal or otherwise prohibiting the transactions contemplated by this Agreement, and such Law or Order or other action shall have become final and non-appealable;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party seeking to terminate this Agreement pursuant to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have complied with its obligations pursuant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under this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shall not be available to a party if the issuance of such Law or Order or taking of such action was principally caused by or resulted from the failure of such party; or</w:t>
      </w:r>
    </w:p>
    <w:p>
      <w:pPr>
        <w:spacing w:after="0" w:line="58" w:lineRule="exact"/>
        <w:rPr>
          <w:rFonts w:ascii="Times New Roman" w:cs="Times New Roman" w:eastAsia="Times New Roman" w:hAnsi="Times New Roman"/>
          <w:sz w:val="13"/>
          <w:szCs w:val="13"/>
          <w:color w:val="auto"/>
        </w:rPr>
      </w:pPr>
    </w:p>
    <w:p>
      <w:pPr>
        <w:ind w:left="940" w:right="819" w:firstLine="675"/>
        <w:spacing w:after="0" w:line="249" w:lineRule="auto"/>
        <w:tabs>
          <w:tab w:leader="none" w:pos="1829" w:val="left"/>
        </w:tabs>
        <w:numPr>
          <w:ilvl w:val="1"/>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Requisite Company Stockholder Approval shall not have been obtained at the Company Stockholders’ Meeting duly convened therefor or at any adjournment or postponement thereof at which this Agreement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the Company if the Company’s failure to perform any of its obligations under this Agreement is the principal cause of the failure to obtain the Requisite Company Stockholder Approval);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4" w:name="page95"/>
    <w:bookmarkEnd w:id="94"/>
    <w:p>
      <w:pPr>
        <w:ind w:left="940" w:right="819" w:firstLine="675"/>
        <w:spacing w:after="0" w:line="249" w:lineRule="auto"/>
        <w:tabs>
          <w:tab w:leader="none" w:pos="1822" w:val="left"/>
        </w:tabs>
        <w:numPr>
          <w:ilvl w:val="2"/>
          <w:numId w:val="1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Requisite Parent Stockholder Approval shall not have been obtained at the Parent Stockholders’ Meeting duly convened therefor or at any adjournment or postponement thereof at which the Parent Share Issuance and the transactions contemplated hereby have been voted upon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the right to terminate this Agreement pursuant to this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shall not be available to Parent if Parent’s failure to perform any of its obligations under this Agreement is the principal cause of the failure to obtain the Requisite Parent Stockholder Approval); or</w:t>
      </w:r>
    </w:p>
    <w:p>
      <w:pPr>
        <w:spacing w:after="0" w:line="134"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w:t>
      </w:r>
    </w:p>
    <w:p>
      <w:pPr>
        <w:spacing w:after="0" w:line="77" w:lineRule="exact"/>
        <w:rPr>
          <w:rFonts w:ascii="Times New Roman" w:cs="Times New Roman" w:eastAsia="Times New Roman" w:hAnsi="Times New Roman"/>
          <w:sz w:val="13"/>
          <w:szCs w:val="13"/>
          <w:color w:val="auto"/>
        </w:rPr>
      </w:pPr>
    </w:p>
    <w:p>
      <w:pPr>
        <w:ind w:left="940" w:right="679" w:firstLine="675"/>
        <w:spacing w:after="0" w:line="247" w:lineRule="auto"/>
        <w:tabs>
          <w:tab w:leader="none" w:pos="1759"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Merger Sub I or Merger Sub II shall have breached or failed to perform any of their respective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and (B) is not capable of being cured, or is not cured, by Parent, Merger Sub I or Merger Sub II on or before the earlier of (x) the Termination Date and (y) the date that is thirty (30) calendar days following the Company’s delivery of written notice to Parent, Merger Sub I or Merger Sub II, as applicable,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Company shall not have the right to terminate this Agreement pursuant to this </w:t>
      </w:r>
      <w:r>
        <w:rPr>
          <w:rFonts w:ascii="Times New Roman" w:cs="Times New Roman" w:eastAsia="Times New Roman" w:hAnsi="Times New Roman"/>
          <w:sz w:val="13"/>
          <w:szCs w:val="13"/>
          <w:u w:val="single" w:color="auto"/>
          <w:color w:val="auto"/>
        </w:rPr>
        <w:t>Section 8.1(c)(i)</w:t>
      </w:r>
      <w:r>
        <w:rPr>
          <w:rFonts w:ascii="Times New Roman" w:cs="Times New Roman" w:eastAsia="Times New Roman" w:hAnsi="Times New Roman"/>
          <w:sz w:val="13"/>
          <w:szCs w:val="13"/>
          <w:color w:val="auto"/>
        </w:rPr>
        <w:t xml:space="preserve"> if the Company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7.2(a)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7.2(c)</w:t>
      </w:r>
      <w:r>
        <w:rPr>
          <w:rFonts w:ascii="Times New Roman" w:cs="Times New Roman" w:eastAsia="Times New Roman" w:hAnsi="Times New Roman"/>
          <w:sz w:val="13"/>
          <w:szCs w:val="13"/>
          <w:color w:val="auto"/>
        </w:rPr>
        <w:t xml:space="preserve"> not then being satisfied;</w:t>
      </w:r>
    </w:p>
    <w:p>
      <w:pPr>
        <w:spacing w:after="0" w:line="60" w:lineRule="exact"/>
        <w:rPr>
          <w:rFonts w:ascii="Times New Roman" w:cs="Times New Roman" w:eastAsia="Times New Roman" w:hAnsi="Times New Roman"/>
          <w:sz w:val="13"/>
          <w:szCs w:val="13"/>
          <w:color w:val="auto"/>
        </w:rPr>
      </w:pPr>
    </w:p>
    <w:p>
      <w:pPr>
        <w:ind w:left="940" w:right="699" w:firstLine="675"/>
        <w:spacing w:after="0" w:line="251" w:lineRule="auto"/>
        <w:tabs>
          <w:tab w:leader="none" w:pos="1794"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prior to obtaining the Requisite Company Stockholder Approval, the Company Board (or a committee thereof) shall have determined to terminate this Agreement in order to concurrently with such termination enter into a definitive agreement with respect to a Superior Proposal;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 the Company has materially complied with its obligations in </w:t>
      </w:r>
      <w:r>
        <w:rPr>
          <w:rFonts w:ascii="Times New Roman" w:cs="Times New Roman" w:eastAsia="Times New Roman" w:hAnsi="Times New Roman"/>
          <w:sz w:val="13"/>
          <w:szCs w:val="13"/>
          <w:u w:val="single" w:color="auto"/>
          <w:color w:val="auto"/>
        </w:rPr>
        <w:t>Section 6.6</w:t>
      </w:r>
      <w:r>
        <w:rPr>
          <w:rFonts w:ascii="Times New Roman" w:cs="Times New Roman" w:eastAsia="Times New Roman" w:hAnsi="Times New Roman"/>
          <w:sz w:val="13"/>
          <w:szCs w:val="13"/>
          <w:color w:val="auto"/>
        </w:rPr>
        <w:t xml:space="preserve"> and (B) concurrently with or prior to such termination, the Company pays Parent the Termination Fee payable to Parent pursuant to </w:t>
      </w:r>
      <w:r>
        <w:rPr>
          <w:rFonts w:ascii="Times New Roman" w:cs="Times New Roman" w:eastAsia="Times New Roman" w:hAnsi="Times New Roman"/>
          <w:sz w:val="13"/>
          <w:szCs w:val="13"/>
          <w:u w:val="single" w:color="auto"/>
          <w:color w:val="auto"/>
        </w:rPr>
        <w:t>Section 8.3(a)(ii)</w:t>
      </w:r>
      <w:r>
        <w:rPr>
          <w:rFonts w:ascii="Times New Roman" w:cs="Times New Roman" w:eastAsia="Times New Roman" w:hAnsi="Times New Roman"/>
          <w:sz w:val="13"/>
          <w:szCs w:val="13"/>
          <w:color w:val="auto"/>
        </w:rPr>
        <w:t>;</w:t>
      </w:r>
    </w:p>
    <w:p>
      <w:pPr>
        <w:spacing w:after="0" w:line="56" w:lineRule="exact"/>
        <w:rPr>
          <w:rFonts w:ascii="Times New Roman" w:cs="Times New Roman" w:eastAsia="Times New Roman" w:hAnsi="Times New Roman"/>
          <w:sz w:val="13"/>
          <w:szCs w:val="13"/>
          <w:color w:val="auto"/>
        </w:rPr>
      </w:pPr>
    </w:p>
    <w:p>
      <w:pPr>
        <w:ind w:left="940" w:right="1039" w:firstLine="675"/>
        <w:spacing w:after="0" w:line="267" w:lineRule="auto"/>
        <w:tabs>
          <w:tab w:leader="none" w:pos="1829" w:val="left"/>
        </w:tabs>
        <w:numPr>
          <w:ilvl w:val="2"/>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 Parent Adverse Recommendation Change shall have occurred (whether or not permitted to do so under the terms of this Agreement) or if Parent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or</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if:</w:t>
      </w:r>
    </w:p>
    <w:p>
      <w:pPr>
        <w:spacing w:after="0" w:line="77" w:lineRule="exact"/>
        <w:rPr>
          <w:rFonts w:ascii="Times New Roman" w:cs="Times New Roman" w:eastAsia="Times New Roman" w:hAnsi="Times New Roman"/>
          <w:sz w:val="13"/>
          <w:szCs w:val="13"/>
          <w:color w:val="auto"/>
        </w:rPr>
      </w:pPr>
    </w:p>
    <w:p>
      <w:pPr>
        <w:ind w:left="940" w:right="859" w:firstLine="675"/>
        <w:spacing w:after="0" w:line="271" w:lineRule="auto"/>
        <w:tabs>
          <w:tab w:leader="none" w:pos="1759" w:val="left"/>
        </w:tabs>
        <w:numPr>
          <w:ilvl w:val="2"/>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shall have breached or failed to perform any of its representations, warranties, covenants or other agreements set forth in this Agreement, which breach or failure to perform (A) would give rise to the failure of any condition set forth in </w:t>
      </w:r>
      <w:r>
        <w:rPr>
          <w:rFonts w:ascii="Times New Roman" w:cs="Times New Roman" w:eastAsia="Times New Roman" w:hAnsi="Times New Roman"/>
          <w:sz w:val="12"/>
          <w:szCs w:val="12"/>
          <w:u w:val="single" w:color="auto"/>
          <w:color w:val="auto"/>
        </w:rPr>
        <w:t>Section 7.2(a)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7.2(c)</w:t>
      </w:r>
      <w:r>
        <w:rPr>
          <w:rFonts w:ascii="Times New Roman" w:cs="Times New Roman" w:eastAsia="Times New Roman" w:hAnsi="Times New Roman"/>
          <w:sz w:val="12"/>
          <w:szCs w:val="12"/>
          <w:color w:val="auto"/>
        </w:rPr>
        <w:t>, and (B) is not capable of being cured, or is not cured, by the Company on or before the earlier of (x) the Termination Date and</w:t>
      </w:r>
    </w:p>
    <w:p>
      <w:pPr>
        <w:ind w:left="940" w:right="739" w:firstLine="7"/>
        <w:spacing w:after="0" w:line="244" w:lineRule="auto"/>
        <w:tabs>
          <w:tab w:leader="none" w:pos="1119"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date that is thirty (30) calendar days following Parent’s delivery of written notice to the Company of such breach;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Parent shall not have the right to terminate this Agreement pursuant to this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if Parent, Merger Sub I or Merger Sub II is then in breach of any of its representations, warranties, covenants or agreements hereunder that would result in </w:t>
      </w:r>
      <w:r>
        <w:rPr>
          <w:rFonts w:ascii="Times New Roman" w:cs="Times New Roman" w:eastAsia="Times New Roman" w:hAnsi="Times New Roman"/>
          <w:sz w:val="13"/>
          <w:szCs w:val="13"/>
          <w:u w:val="single" w:color="auto"/>
          <w:color w:val="auto"/>
        </w:rPr>
        <w:t>Section 7.3(a)</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7.3(b)</w:t>
      </w:r>
      <w:r>
        <w:rPr>
          <w:rFonts w:ascii="Times New Roman" w:cs="Times New Roman" w:eastAsia="Times New Roman" w:hAnsi="Times New Roman"/>
          <w:sz w:val="13"/>
          <w:szCs w:val="13"/>
          <w:color w:val="auto"/>
        </w:rPr>
        <w:t xml:space="preserve"> not then being satisfied; or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5" w:name="page96"/>
    <w:bookmarkEnd w:id="95"/>
    <w:p>
      <w:pPr>
        <w:ind w:left="940" w:right="699" w:firstLine="675"/>
        <w:spacing w:after="0" w:line="267" w:lineRule="auto"/>
        <w:tabs>
          <w:tab w:leader="none" w:pos="1794"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An Adverse Recommendation Change shall have occurred (whether or not permitted to do so under the terms of this Agreement) or if the Company has materially breached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2"/>
          <w:szCs w:val="12"/>
          <w:color w:val="auto"/>
        </w:rPr>
        <w:t xml:space="preserve">Section 8.2 </w:t>
      </w:r>
      <w:r>
        <w:rPr>
          <w:rFonts w:ascii="Times New Roman" w:cs="Times New Roman" w:eastAsia="Times New Roman" w:hAnsi="Times New Roman"/>
          <w:sz w:val="12"/>
          <w:szCs w:val="12"/>
          <w:u w:val="single" w:color="auto"/>
          <w:color w:val="auto"/>
        </w:rPr>
        <w:t>Effect of Termination</w:t>
      </w:r>
      <w:r>
        <w:rPr>
          <w:rFonts w:ascii="Times New Roman" w:cs="Times New Roman" w:eastAsia="Times New Roman" w:hAnsi="Times New Roman"/>
          <w:sz w:val="12"/>
          <w:szCs w:val="12"/>
          <w:color w:val="auto"/>
        </w:rPr>
        <w:t xml:space="preserve">. In the event that this Agreement is validly terminated and the Mergers abandoned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written notice thereof shall be given to the other party or parties, specifying the provisions hereof pursuant to which such termination is made, and this Agreement shall forthwith become null and void and of no effect without liability on the part of any party hereto (or any of its Representatives), and all rights and obligations of any party hereto shall cease;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except as otherwise provided in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or in any other provision of this Agreement, no such termination shall relieve any party hereto of any liability or damages resulting from fraud or willful breach occurring prior to such termination, in which case, the aggrieved party shall be entitled to all remedies available at law or in equity;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that</w:t>
      </w:r>
      <w:r>
        <w:rPr>
          <w:rFonts w:ascii="Times New Roman" w:cs="Times New Roman" w:eastAsia="Times New Roman" w:hAnsi="Times New Roman"/>
          <w:sz w:val="12"/>
          <w:szCs w:val="12"/>
          <w:color w:val="auto"/>
        </w:rPr>
        <w:t xml:space="preserve"> the Confidentiality Agreement and the provisions of this </w:t>
      </w:r>
      <w:r>
        <w:rPr>
          <w:rFonts w:ascii="Times New Roman" w:cs="Times New Roman" w:eastAsia="Times New Roman" w:hAnsi="Times New Roman"/>
          <w:sz w:val="12"/>
          <w:szCs w:val="12"/>
          <w:u w:val="single" w:color="auto"/>
          <w:color w:val="auto"/>
        </w:rPr>
        <w:t>Section 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8.3</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IX</w:t>
      </w:r>
      <w:r>
        <w:rPr>
          <w:rFonts w:ascii="Times New Roman" w:cs="Times New Roman" w:eastAsia="Times New Roman" w:hAnsi="Times New Roman"/>
          <w:sz w:val="12"/>
          <w:szCs w:val="12"/>
          <w:color w:val="auto"/>
        </w:rPr>
        <w:t xml:space="preserve"> and the applicable definitions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shall survive any termination of this Agreement pursuant to </w:t>
      </w:r>
      <w:r>
        <w:rPr>
          <w:rFonts w:ascii="Times New Roman" w:cs="Times New Roman" w:eastAsia="Times New Roman" w:hAnsi="Times New Roman"/>
          <w:sz w:val="12"/>
          <w:szCs w:val="12"/>
          <w:u w:val="single" w:color="auto"/>
          <w:color w:val="auto"/>
        </w:rPr>
        <w:t>Section 8.1</w:t>
      </w:r>
      <w:r>
        <w:rPr>
          <w:rFonts w:ascii="Times New Roman" w:cs="Times New Roman" w:eastAsia="Times New Roman" w:hAnsi="Times New Roman"/>
          <w:sz w:val="12"/>
          <w:szCs w:val="12"/>
          <w:color w:val="auto"/>
        </w:rPr>
        <w:t xml:space="preserve"> in accordance with their respective terms.</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8.3 </w:t>
      </w:r>
      <w:r>
        <w:rPr>
          <w:rFonts w:ascii="Times New Roman" w:cs="Times New Roman" w:eastAsia="Times New Roman" w:hAnsi="Times New Roman"/>
          <w:sz w:val="13"/>
          <w:szCs w:val="13"/>
          <w:u w:val="single" w:color="auto"/>
          <w:color w:val="auto"/>
        </w:rPr>
        <w:t>Termination Fees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500" w:hanging="167"/>
        <w:spacing w:after="0"/>
        <w:tabs>
          <w:tab w:leader="none" w:pos="150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the Termination Fee to Parent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79" w:firstLine="675"/>
        <w:spacing w:after="0" w:line="255" w:lineRule="auto"/>
        <w:tabs>
          <w:tab w:leader="none" w:pos="1759"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Stockholder Approval) </w:t>
      </w:r>
      <w:r>
        <w:rPr>
          <w:rFonts w:ascii="Times New Roman" w:cs="Times New Roman" w:eastAsia="Times New Roman" w:hAnsi="Times New Roman"/>
          <w:sz w:val="13"/>
          <w:szCs w:val="13"/>
          <w:color w:val="auto"/>
        </w:rPr>
        <w:t>at a time when this Agreement was terminable by Parent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or (y) Parent pursuant to </w:t>
      </w:r>
      <w:r>
        <w:rPr>
          <w:rFonts w:ascii="Times New Roman" w:cs="Times New Roman" w:eastAsia="Times New Roman" w:hAnsi="Times New Roman"/>
          <w:sz w:val="13"/>
          <w:szCs w:val="13"/>
          <w:u w:val="single" w:color="auto"/>
          <w:color w:val="auto"/>
        </w:rPr>
        <w:t>Section 8.1(d)(ii)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Adverse Recommendation Change</w:t>
      </w:r>
      <w:r>
        <w:rPr>
          <w:rFonts w:ascii="Times New Roman" w:cs="Times New Roman" w:eastAsia="Times New Roman" w:hAnsi="Times New Roman"/>
          <w:sz w:val="13"/>
          <w:szCs w:val="13"/>
          <w:color w:val="auto"/>
        </w:rPr>
        <w:t>),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1" w:lineRule="exact"/>
        <w:rPr>
          <w:rFonts w:ascii="Times New Roman" w:cs="Times New Roman" w:eastAsia="Times New Roman" w:hAnsi="Times New Roman"/>
          <w:sz w:val="13"/>
          <w:szCs w:val="13"/>
          <w:color w:val="auto"/>
        </w:rPr>
      </w:pPr>
    </w:p>
    <w:p>
      <w:pPr>
        <w:ind w:left="940" w:right="759" w:firstLine="675"/>
        <w:spacing w:after="0" w:line="245" w:lineRule="auto"/>
        <w:tabs>
          <w:tab w:leader="none" w:pos="1794"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the Company pursuant to </w:t>
      </w:r>
      <w:r>
        <w:rPr>
          <w:rFonts w:ascii="Times New Roman" w:cs="Times New Roman" w:eastAsia="Times New Roman" w:hAnsi="Times New Roman"/>
          <w:sz w:val="13"/>
          <w:szCs w:val="13"/>
          <w:u w:val="single" w:color="auto"/>
          <w:color w:val="auto"/>
        </w:rPr>
        <w:t>Section 8.1(c)(ii)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Superior Proposal</w:t>
      </w:r>
      <w:r>
        <w:rPr>
          <w:rFonts w:ascii="Times New Roman" w:cs="Times New Roman" w:eastAsia="Times New Roman" w:hAnsi="Times New Roman"/>
          <w:sz w:val="13"/>
          <w:szCs w:val="13"/>
          <w:color w:val="auto"/>
        </w:rPr>
        <w:t>), then the Company shall pay the Termination Fee concurrently with such termination; and</w:t>
      </w:r>
    </w:p>
    <w:p>
      <w:pPr>
        <w:spacing w:after="0" w:line="57" w:lineRule="exact"/>
        <w:rPr>
          <w:rFonts w:ascii="Times New Roman" w:cs="Times New Roman" w:eastAsia="Times New Roman" w:hAnsi="Times New Roman"/>
          <w:sz w:val="13"/>
          <w:szCs w:val="13"/>
          <w:color w:val="auto"/>
        </w:rPr>
      </w:pPr>
    </w:p>
    <w:p>
      <w:pPr>
        <w:ind w:left="940" w:right="679" w:firstLine="675"/>
        <w:spacing w:after="0" w:line="248" w:lineRule="auto"/>
        <w:tabs>
          <w:tab w:leader="none" w:pos="1829" w:val="left"/>
        </w:tabs>
        <w:numPr>
          <w:ilvl w:val="1"/>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(x) If this Agreement is terminated (A) pursuant to </w:t>
      </w:r>
      <w:r>
        <w:rPr>
          <w:rFonts w:ascii="Times New Roman" w:cs="Times New Roman" w:eastAsia="Times New Roman" w:hAnsi="Times New Roman"/>
          <w:sz w:val="13"/>
          <w:szCs w:val="13"/>
          <w:u w:val="single" w:color="auto"/>
          <w:color w:val="auto"/>
        </w:rPr>
        <w:t>Section 8.1(b)(iii)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Company Stockholder Approval)</w:t>
      </w:r>
      <w:r>
        <w:rPr>
          <w:rFonts w:ascii="Times New Roman" w:cs="Times New Roman" w:eastAsia="Times New Roman" w:hAnsi="Times New Roman"/>
          <w:sz w:val="13"/>
          <w:szCs w:val="13"/>
          <w:color w:val="auto"/>
        </w:rPr>
        <w:t xml:space="preserve">, (B) pursuant to </w:t>
      </w:r>
      <w:r>
        <w:rPr>
          <w:rFonts w:ascii="Times New Roman" w:cs="Times New Roman" w:eastAsia="Times New Roman" w:hAnsi="Times New Roman"/>
          <w:sz w:val="13"/>
          <w:szCs w:val="13"/>
          <w:u w:val="single" w:color="auto"/>
          <w:color w:val="auto"/>
        </w:rPr>
        <w:t>Section 8.1(d)(i)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Company Breach)</w:t>
      </w:r>
      <w:r>
        <w:rPr>
          <w:rFonts w:ascii="Times New Roman" w:cs="Times New Roman" w:eastAsia="Times New Roman" w:hAnsi="Times New Roman"/>
          <w:sz w:val="13"/>
          <w:szCs w:val="13"/>
          <w:color w:val="auto"/>
        </w:rPr>
        <w:t xml:space="preserve">, or (C)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(unless if, upon such termination, the conditions to the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(where the failure of such condition set forth in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to be satisfied is a result of any Law or Order arising under any Antitrust Law) shall not have been satisfied, but all other conditions to the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such conditions would have been so satisfied if the Closing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96" w:name="page97"/>
    <w:bookmarkEnd w:id="96"/>
    <w:p>
      <w:pPr>
        <w:ind w:left="940" w:right="679"/>
        <w:spacing w:after="0" w:line="23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would have occurred on or before the date of termination)), and (y) in any such case a Competing Proposal shall have been publicly announced or, in the case of a termination pursuant to clause (B) or (C), otherwise communicated to the Company Board (and in each case not withdrawn) after the date of this Agreement and prior to the date of the Company Stockholders’ Meeting, in the case of clause (A), or the date of termination, in the case of clauses (B) and (C) and (z) if within twelve (12) months after the date of such termination, a transaction in respect of such Competing Proposal is consummated or the Company enters into a definitive agreement in respect of such Competing Proposal which is ultimately consummated, then the Company shall pay the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the date of consummation of such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solely for purposes of this </w:t>
      </w:r>
      <w:r>
        <w:rPr>
          <w:rFonts w:ascii="Times New Roman" w:cs="Times New Roman" w:eastAsia="Times New Roman" w:hAnsi="Times New Roman"/>
          <w:sz w:val="13"/>
          <w:szCs w:val="13"/>
          <w:u w:val="single" w:color="auto"/>
          <w:color w:val="auto"/>
        </w:rPr>
        <w:t>Section 8.3(a)(iii)</w:t>
      </w:r>
      <w:r>
        <w:rPr>
          <w:rFonts w:ascii="Times New Roman" w:cs="Times New Roman" w:eastAsia="Times New Roman" w:hAnsi="Times New Roman"/>
          <w:sz w:val="13"/>
          <w:szCs w:val="13"/>
          <w:color w:val="auto"/>
        </w:rPr>
        <w:t>, the term “</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ascribed thereto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 except that all references to 20% shall be changed to 50%).</w:t>
      </w:r>
    </w:p>
    <w:p>
      <w:pPr>
        <w:spacing w:after="0" w:line="67" w:lineRule="exact"/>
        <w:rPr>
          <w:sz w:val="20"/>
          <w:szCs w:val="20"/>
          <w:color w:val="auto"/>
        </w:rPr>
      </w:pPr>
    </w:p>
    <w:p>
      <w:pPr>
        <w:ind w:left="940" w:right="679"/>
        <w:spacing w:after="0" w:line="267" w:lineRule="auto"/>
        <w:rPr>
          <w:sz w:val="20"/>
          <w:szCs w:val="20"/>
          <w:color w:val="auto"/>
        </w:rPr>
      </w:pPr>
      <w:r>
        <w:rPr>
          <w:rFonts w:ascii="Times New Roman" w:cs="Times New Roman" w:eastAsia="Times New Roman" w:hAnsi="Times New Roman"/>
          <w:sz w:val="13"/>
          <w:szCs w:val="13"/>
          <w:color w:val="auto"/>
        </w:rPr>
        <w:t xml:space="preserve">Any Termination Fee due by the Company under this </w:t>
      </w:r>
      <w:r>
        <w:rPr>
          <w:rFonts w:ascii="Times New Roman" w:cs="Times New Roman" w:eastAsia="Times New Roman" w:hAnsi="Times New Roman"/>
          <w:sz w:val="13"/>
          <w:szCs w:val="13"/>
          <w:u w:val="single" w:color="auto"/>
          <w:color w:val="auto"/>
        </w:rPr>
        <w:t>Section 8.3(a)</w:t>
      </w:r>
      <w:r>
        <w:rPr>
          <w:rFonts w:ascii="Times New Roman" w:cs="Times New Roman" w:eastAsia="Times New Roman" w:hAnsi="Times New Roman"/>
          <w:sz w:val="13"/>
          <w:szCs w:val="13"/>
          <w:color w:val="auto"/>
        </w:rPr>
        <w:t xml:space="preserve"> shall be paid by the Company by wire transfer of immediately available funds (it being understood that in no event shall the Company be required to pay the Termination Fee on more than one occasion).</w:t>
      </w:r>
    </w:p>
    <w:p>
      <w:pPr>
        <w:spacing w:after="0" w:line="122" w:lineRule="exact"/>
        <w:rPr>
          <w:sz w:val="20"/>
          <w:szCs w:val="20"/>
          <w:color w:val="auto"/>
        </w:rPr>
      </w:pPr>
    </w:p>
    <w:p>
      <w:pPr>
        <w:ind w:left="1520" w:hanging="187"/>
        <w:spacing w:after="0"/>
        <w:tabs>
          <w:tab w:leader="none" w:pos="1520" w:val="left"/>
        </w:tabs>
        <w:numPr>
          <w:ilvl w:val="0"/>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pay the Reverse Termination Fee to the Company if the Agreement is terminated as follows:</w:t>
      </w:r>
    </w:p>
    <w:p>
      <w:pPr>
        <w:spacing w:after="0" w:line="75" w:lineRule="exact"/>
        <w:rPr>
          <w:rFonts w:ascii="Times New Roman" w:cs="Times New Roman" w:eastAsia="Times New Roman" w:hAnsi="Times New Roman"/>
          <w:sz w:val="13"/>
          <w:szCs w:val="13"/>
          <w:color w:val="auto"/>
        </w:rPr>
      </w:pPr>
    </w:p>
    <w:p>
      <w:pPr>
        <w:ind w:left="940" w:right="659" w:firstLine="675"/>
        <w:spacing w:after="0" w:line="234" w:lineRule="auto"/>
        <w:tabs>
          <w:tab w:leader="none" w:pos="1759"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the Agreement is terminated pursuant to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Termination Date</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8.1(b)(ii)</w:t>
      </w:r>
      <w:r>
        <w:rPr>
          <w:rFonts w:ascii="Times New Roman" w:cs="Times New Roman" w:eastAsia="Times New Roman" w:hAnsi="Times New Roman"/>
          <w:sz w:val="13"/>
          <w:szCs w:val="13"/>
          <w:color w:val="auto"/>
        </w:rPr>
        <w:t xml:space="preserve">, solely to the extent the applicable Law or Order arises under the HSR Act) and (ii) all of the conditions to Closing set forth in </w:t>
      </w:r>
      <w:r>
        <w:rPr>
          <w:rFonts w:ascii="Times New Roman" w:cs="Times New Roman" w:eastAsia="Times New Roman" w:hAnsi="Times New Roman"/>
          <w:sz w:val="13"/>
          <w:szCs w:val="13"/>
          <w:u w:val="single" w:color="auto"/>
          <w:color w:val="auto"/>
        </w:rPr>
        <w:t>Article VII</w:t>
      </w:r>
      <w:r>
        <w:rPr>
          <w:rFonts w:ascii="Times New Roman" w:cs="Times New Roman" w:eastAsia="Times New Roman" w:hAnsi="Times New Roman"/>
          <w:sz w:val="13"/>
          <w:szCs w:val="13"/>
          <w:color w:val="auto"/>
        </w:rPr>
        <w:t xml:space="preserve">, other than the conditions to Closing set forth in </w:t>
      </w:r>
      <w:r>
        <w:rPr>
          <w:rFonts w:ascii="Times New Roman" w:cs="Times New Roman" w:eastAsia="Times New Roman" w:hAnsi="Times New Roman"/>
          <w:sz w:val="13"/>
          <w:szCs w:val="13"/>
          <w:u w:val="single" w:color="auto"/>
          <w:color w:val="auto"/>
        </w:rPr>
        <w:t>Section 7.1(b)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Regulatory Approvals</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Legal Restraint</w:t>
      </w:r>
      <w:r>
        <w:rPr>
          <w:rFonts w:ascii="Times New Roman" w:cs="Times New Roman" w:eastAsia="Times New Roman" w:hAnsi="Times New Roman"/>
          <w:sz w:val="13"/>
          <w:szCs w:val="13"/>
          <w:color w:val="auto"/>
        </w:rPr>
        <w:t xml:space="preserve">) (with respect to </w:t>
      </w:r>
      <w:r>
        <w:rPr>
          <w:rFonts w:ascii="Times New Roman" w:cs="Times New Roman" w:eastAsia="Times New Roman" w:hAnsi="Times New Roman"/>
          <w:sz w:val="13"/>
          <w:szCs w:val="13"/>
          <w:u w:val="single" w:color="auto"/>
          <w:color w:val="auto"/>
        </w:rPr>
        <w:t>Section 7.1(c)</w:t>
      </w:r>
      <w:r>
        <w:rPr>
          <w:rFonts w:ascii="Times New Roman" w:cs="Times New Roman" w:eastAsia="Times New Roman" w:hAnsi="Times New Roman"/>
          <w:sz w:val="13"/>
          <w:szCs w:val="13"/>
          <w:color w:val="auto"/>
        </w:rPr>
        <w:t xml:space="preserve">, solely to the extent that such Law or Order arises under any Antitrust Law), shall have been satisfied or validly waived (except for those conditions that by their terms must be satisfied at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conditions would have been so satisfied if the Closing would have occurred on or before the date of termination), then Parent shall pay the Reverse 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w:t>
      </w:r>
    </w:p>
    <w:p>
      <w:pPr>
        <w:spacing w:after="0" w:line="60"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794" w:val="left"/>
        </w:tabs>
        <w:numPr>
          <w:ilvl w:val="1"/>
          <w:numId w:val="1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this Agreement is terminated by (x) either the Company or Parent pursuant to </w:t>
      </w:r>
      <w:r>
        <w:rPr>
          <w:rFonts w:ascii="Times New Roman" w:cs="Times New Roman" w:eastAsia="Times New Roman" w:hAnsi="Times New Roman"/>
          <w:sz w:val="13"/>
          <w:szCs w:val="13"/>
          <w:u w:val="single" w:color="auto"/>
          <w:color w:val="auto"/>
        </w:rPr>
        <w:t>Section 8.1(b)(iv)</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Requisite Parent Stockholder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Approval) </w:t>
      </w:r>
      <w:r>
        <w:rPr>
          <w:rFonts w:ascii="Times New Roman" w:cs="Times New Roman" w:eastAsia="Times New Roman" w:hAnsi="Times New Roman"/>
          <w:sz w:val="13"/>
          <w:szCs w:val="13"/>
          <w:color w:val="auto"/>
        </w:rPr>
        <w:t>at a time when this Agreement was terminable by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or (y) the Company pursuant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u w:val="single" w:color="auto"/>
          <w:color w:val="auto"/>
        </w:rPr>
        <w:t>Section 8.1(c)(iii)</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Parent Adverse Recommendation Change</w:t>
      </w:r>
      <w:r>
        <w:rPr>
          <w:rFonts w:ascii="Times New Roman" w:cs="Times New Roman" w:eastAsia="Times New Roman" w:hAnsi="Times New Roman"/>
          <w:sz w:val="13"/>
          <w:szCs w:val="13"/>
          <w:color w:val="auto"/>
        </w:rPr>
        <w:t>), then Parent shall pay the Reverse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Termination Fee on the second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3"/>
          <w:szCs w:val="13"/>
          <w:color w:val="auto"/>
        </w:rPr>
        <w:t>) Business Day following such termination; and</w:t>
      </w:r>
    </w:p>
    <w:p>
      <w:pPr>
        <w:spacing w:after="0" w:line="2" w:lineRule="exact"/>
        <w:rPr>
          <w:sz w:val="20"/>
          <w:szCs w:val="20"/>
          <w:color w:val="auto"/>
        </w:rPr>
      </w:pPr>
    </w:p>
    <w:p>
      <w:pPr>
        <w:ind w:left="940" w:right="799"/>
        <w:spacing w:after="0" w:line="245" w:lineRule="auto"/>
        <w:rPr>
          <w:sz w:val="20"/>
          <w:szCs w:val="20"/>
          <w:color w:val="auto"/>
        </w:rPr>
      </w:pPr>
      <w:r>
        <w:rPr>
          <w:rFonts w:ascii="Times New Roman" w:cs="Times New Roman" w:eastAsia="Times New Roman" w:hAnsi="Times New Roman"/>
          <w:sz w:val="13"/>
          <w:szCs w:val="13"/>
          <w:color w:val="auto"/>
        </w:rPr>
        <w:t xml:space="preserve">Any Reverse Termination Fee due by Parent under this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shall be paid by Parent by wire transfer of immediately available funds (it being understood that in no event shall Parent be required to pay the Reverse Termination Fee on more than one occasion).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97" w:name="page98"/>
    <w:bookmarkEnd w:id="97"/>
    <w:p>
      <w:pPr>
        <w:ind w:left="640" w:right="719" w:firstLine="693"/>
        <w:spacing w:after="0" w:line="266" w:lineRule="auto"/>
        <w:tabs>
          <w:tab w:leader="none" w:pos="1508"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to the contrary set forth in this Agreement, (x) Parent’s receipt in full of the Termination Fee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xml:space="preserve">, in circumstances where the Termination Fee is owed pursuant to </w:t>
      </w:r>
      <w:r>
        <w:rPr>
          <w:rFonts w:ascii="Times New Roman" w:cs="Times New Roman" w:eastAsia="Times New Roman" w:hAnsi="Times New Roman"/>
          <w:sz w:val="12"/>
          <w:szCs w:val="12"/>
          <w:u w:val="single" w:color="auto"/>
          <w:color w:val="auto"/>
        </w:rPr>
        <w:t>Section 8.3(a)</w:t>
      </w:r>
      <w:r>
        <w:rPr>
          <w:rFonts w:ascii="Times New Roman" w:cs="Times New Roman" w:eastAsia="Times New Roman" w:hAnsi="Times New Roman"/>
          <w:sz w:val="12"/>
          <w:szCs w:val="12"/>
          <w:color w:val="auto"/>
        </w:rPr>
        <w:t>, shall constitute the sole and exclusive monetary remedy of Parent, Merger Sub I, Merger Sub II and Parent’s Subsidiaries against the Company and its Subsidiaries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Company Related Parties</w:t>
      </w:r>
      <w:r>
        <w:rPr>
          <w:rFonts w:ascii="Times New Roman" w:cs="Times New Roman" w:eastAsia="Times New Roman" w:hAnsi="Times New Roman"/>
          <w:sz w:val="12"/>
          <w:szCs w:val="12"/>
          <w:color w:val="auto"/>
        </w:rPr>
        <w:t>”) for all losses and damages suffered as a result of any breach or failure to perform hereunder giving rise to such termination, and upon payment of such amount, none of the Company Related Parties shall have any further liability or obligation relating to or arising out of this Agreement or the transactions contemplated thereby with respect to such breach or failure to perform; and</w:t>
      </w:r>
    </w:p>
    <w:p>
      <w:pPr>
        <w:spacing w:after="0" w:line="3" w:lineRule="exact"/>
        <w:rPr>
          <w:rFonts w:ascii="Times New Roman" w:cs="Times New Roman" w:eastAsia="Times New Roman" w:hAnsi="Times New Roman"/>
          <w:sz w:val="12"/>
          <w:szCs w:val="12"/>
          <w:color w:val="auto"/>
        </w:rPr>
      </w:pPr>
    </w:p>
    <w:p>
      <w:pPr>
        <w:ind w:left="640" w:right="739" w:hanging="3"/>
        <w:spacing w:after="0" w:line="267" w:lineRule="auto"/>
        <w:tabs>
          <w:tab w:leader="none" w:pos="819"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Company’s receipt in full of the Reverse Termination Fee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xml:space="preserve">, in circumstances where the Reverse Termination Fee is owed pursuant to </w:t>
      </w:r>
      <w:r>
        <w:rPr>
          <w:rFonts w:ascii="Times New Roman" w:cs="Times New Roman" w:eastAsia="Times New Roman" w:hAnsi="Times New Roman"/>
          <w:sz w:val="12"/>
          <w:szCs w:val="12"/>
          <w:u w:val="single" w:color="auto"/>
          <w:color w:val="auto"/>
        </w:rPr>
        <w:t>Section 8.3(b)</w:t>
      </w:r>
      <w:r>
        <w:rPr>
          <w:rFonts w:ascii="Times New Roman" w:cs="Times New Roman" w:eastAsia="Times New Roman" w:hAnsi="Times New Roman"/>
          <w:sz w:val="12"/>
          <w:szCs w:val="12"/>
          <w:color w:val="auto"/>
        </w:rPr>
        <w:t>, shall constitute the sole and exclusive monetary remedy of the Company and its Subsidiaries against Parent, Merger Sub I and Merger Sub II and any of their respective direct or indirect, former or current general or limited partners, stockholders, members, managers, directors, officers, employees, agents, Affiliates or assignees of any of the foregoing (collectively, the “</w:t>
      </w:r>
      <w:r>
        <w:rPr>
          <w:rFonts w:ascii="Times New Roman" w:cs="Times New Roman" w:eastAsia="Times New Roman" w:hAnsi="Times New Roman"/>
          <w:sz w:val="12"/>
          <w:szCs w:val="12"/>
          <w:b w:val="1"/>
          <w:bCs w:val="1"/>
          <w:color w:val="auto"/>
        </w:rPr>
        <w:t>Parent Related Parties</w:t>
      </w:r>
      <w:r>
        <w:rPr>
          <w:rFonts w:ascii="Times New Roman" w:cs="Times New Roman" w:eastAsia="Times New Roman" w:hAnsi="Times New Roman"/>
          <w:sz w:val="12"/>
          <w:szCs w:val="12"/>
          <w:color w:val="auto"/>
        </w:rPr>
        <w:t xml:space="preserve">”) for all losses and damages suffered as a result of any breach or failure to perform hereunder giving rise to such termination, and upon payment of such amount, none of the Parent Related Parties shall have any further liability or obligation relating to or arising out of this Agreement or the transactions contemplated thereby with respect to such breach or failure to perform;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notwithstanding the foregoing, the Company, Parent, Merger Sub I and Merger Sub II shall be entitled to pursue an injunction, or other appropriate form of specific performance or equitable relief, solely as provided in </w:t>
      </w:r>
      <w:r>
        <w:rPr>
          <w:rFonts w:ascii="Times New Roman" w:cs="Times New Roman" w:eastAsia="Times New Roman" w:hAnsi="Times New Roman"/>
          <w:sz w:val="12"/>
          <w:szCs w:val="12"/>
          <w:u w:val="single" w:color="auto"/>
          <w:color w:val="auto"/>
        </w:rPr>
        <w:t>Section 9.9</w:t>
      </w:r>
      <w:r>
        <w:rPr>
          <w:rFonts w:ascii="Times New Roman" w:cs="Times New Roman" w:eastAsia="Times New Roman" w:hAnsi="Times New Roman"/>
          <w:sz w:val="12"/>
          <w:szCs w:val="12"/>
          <w:color w:val="auto"/>
        </w:rPr>
        <w: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5" w:lineRule="auto"/>
        <w:tabs>
          <w:tab w:leader="none" w:pos="1515"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of the parties hereto acknowledges that (i) the agreements contained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are an integral part of the transactions contemplated by this Agreement, (ii) the Termination Fee and Reverse Termination Fee are not penalties, but are liquidated damages, in a reasonable amount that will compensate Parent or the Company, as applicable, in the circumstances in which such fees are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the parties hereto would not enter into this Agreement. Accordingly, if the Company or Parent, as applicable, fails to timely pay any amount due pursuant to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and, in order to obtain such payment, Parent or the Company, as applicable, commences a suit that results in a non-appealable judgment against the other party for the payment of any amount set forth in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then Parent or the Company, as applicable, shall pay the other party its reasonable costs and expenses in connection with such suit, together with interest on such amount at the annual rate of five percent (5%) plus the prime rate as published in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xml:space="preserve"> in effect on the date such payment was required to be made through the date such payment was actually received, or such lesser rate as is the maximum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-1267460</wp:posOffset>
            </wp:positionV>
            <wp:extent cx="2032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21"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Section 8.4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xml:space="preserve">. This Agreement may not be amended except by mutual written agreement of the Company and Parent at any time before or after receipt of the Requisite Company Stockholder Approval;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after the Requisite Company Stockholder Approval has been obtained, there shall not be any amendment that by Law or in accordance with the rules of any stock exchange requires further approval by the stockholders of the Company without such further approval of such stockholders.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98" w:name="page99"/>
    <w:bookmarkEnd w:id="98"/>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8.5 </w:t>
      </w:r>
      <w:r>
        <w:rPr>
          <w:rFonts w:ascii="Times New Roman" w:cs="Times New Roman" w:eastAsia="Times New Roman" w:hAnsi="Times New Roman"/>
          <w:sz w:val="13"/>
          <w:szCs w:val="13"/>
          <w:u w:val="single" w:color="auto"/>
          <w:color w:val="auto"/>
        </w:rPr>
        <w:t>Extension; Waiver</w:t>
      </w:r>
      <w:r>
        <w:rPr>
          <w:rFonts w:ascii="Times New Roman" w:cs="Times New Roman" w:eastAsia="Times New Roman" w:hAnsi="Times New Roman"/>
          <w:sz w:val="13"/>
          <w:szCs w:val="13"/>
          <w:color w:val="auto"/>
        </w:rPr>
        <w:t>. At any time prior to the First Effective Time, subject to applicable Law, any party hereto may (a) extend the time for the performance for its benefit of any obligation or other act of any other party hereto, (b) waive any inaccuracy in the representations and warranties made to it by another party contained herein or in any document delivered pursuant hereto and (c) waive compliance with any agreement or condition for its benefit contained herein. Any such extension or waiver shall only be valid if set forth in an instrument in writing signed by the party or parties to be bound thereby. Notwithstanding the foregoing, no failure or delay by the Company, Parent, Merger Sub I or Merger Sub II in exercising any right hereunder shall operate as a waiver thereof nor shall any single or partial exercise thereof preclude any other or further exercise of any other right hereunder. Any agreement on the part of a party hereto to any such extension or waiver shall be valid only if set forth in an instrument in writing signed on behalf of such party.</w:t>
      </w:r>
    </w:p>
    <w:p>
      <w:pPr>
        <w:spacing w:after="0" w:line="139" w:lineRule="exact"/>
        <w:rPr>
          <w:sz w:val="20"/>
          <w:szCs w:val="20"/>
          <w:color w:val="auto"/>
        </w:rPr>
      </w:pPr>
    </w:p>
    <w:p>
      <w:pPr>
        <w:ind w:left="640" w:right="101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8.6 </w:t>
      </w: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Except as expressly set forth herein, all Expenses incurred in connection with this Agreement and the transactions contemplated by this Agreement shall be paid by the party incurring such Expenses. For the avoidance of doubt, Parent shall pay the filing fees in connection with filings under the HSR Act.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IX</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GENERAL PROVISIONS</w:t>
      </w:r>
    </w:p>
    <w:p>
      <w:pPr>
        <w:spacing w:after="0" w:line="156"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9.1 </w:t>
      </w:r>
      <w:r>
        <w:rPr>
          <w:rFonts w:ascii="Times New Roman" w:cs="Times New Roman" w:eastAsia="Times New Roman" w:hAnsi="Times New Roman"/>
          <w:sz w:val="13"/>
          <w:szCs w:val="13"/>
          <w:u w:val="single" w:color="auto"/>
          <w:color w:val="auto"/>
        </w:rPr>
        <w:t>Non-Survival of Representations, Warranties and Agreements</w:t>
      </w:r>
      <w:r>
        <w:rPr>
          <w:rFonts w:ascii="Times New Roman" w:cs="Times New Roman" w:eastAsia="Times New Roman" w:hAnsi="Times New Roman"/>
          <w:sz w:val="13"/>
          <w:szCs w:val="13"/>
          <w:color w:val="auto"/>
        </w:rPr>
        <w:t xml:space="preserve">. The representations, warranties, covenants and agreements in this Agreement and any instrument delivered pursuant hereto by any Person shall terminate at the First Effective Time or, except as provided in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upon the termination of this Agreement pursuant to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as the case may be, except that this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shall not limit any covenant or agreement of the parties hereto which by its terms contemplates performance after the First Effective Time or after termination of this Agreement, including those contained in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6.11</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7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9.2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requests, consents, claims, demands, waivers and other communications required or permitted hereunder, or otherwise given in connection with this Agreement, shall be in writing and shall be given (and shall be deemed to have been duly given upon receipt) by hand delivery, by prepaid overnight courier (providing written proof of delivery) or by email (with email confirmation of receipt), addressed as follows:</w:t>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Parent, Merger Sub I or Merger Sub II:</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2710 Camino Del Sol</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Oxnard, CA 93030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 Michael Pawlowski</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jpawlowski@missionproduce.com</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Latham &amp; Watkins LLP</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10250 Constellation Blvd., Suite 1100</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99" w:name="page100"/>
    <w:bookmarkEnd w:id="99"/>
    <w:p>
      <w:pPr>
        <w:ind w:left="14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Los Angeles, CA 90067</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Steven Stokdyk</w:t>
      </w:r>
    </w:p>
    <w:p>
      <w:pPr>
        <w:spacing w:after="0" w:line="2" w:lineRule="exact"/>
        <w:rPr>
          <w:sz w:val="20"/>
          <w:szCs w:val="20"/>
          <w:color w:val="auto"/>
        </w:rPr>
      </w:pPr>
    </w:p>
    <w:p>
      <w:pPr>
        <w:ind w:left="1400" w:right="6019" w:firstLine="501"/>
        <w:spacing w:after="0" w:line="263" w:lineRule="auto"/>
        <w:tabs>
          <w:tab w:leader="none" w:pos="1969" w:val="left"/>
        </w:tabs>
        <w:numPr>
          <w:ilvl w:val="1"/>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 Darren Guttenberg Email: steven.stokdyk@lw.com</w:t>
      </w:r>
    </w:p>
    <w:p>
      <w:pPr>
        <w:ind w:left="1780" w:hanging="132"/>
        <w:spacing w:after="0"/>
        <w:tabs>
          <w:tab w:leader="none" w:pos="1780" w:val="left"/>
        </w:tabs>
        <w:numPr>
          <w:ilvl w:val="0"/>
          <w:numId w:val="1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darren.guttenberg@lw.com</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8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1141A Cummings Road</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Santa Paula, CA 93060</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Email: John Lindeman</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john.lindeman@calavo.com</w:t>
      </w:r>
    </w:p>
    <w:p>
      <w:pPr>
        <w:spacing w:after="0" w:line="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3"/>
          <w:szCs w:val="13"/>
          <w:color w:val="auto"/>
        </w:rPr>
        <w:t>with a copy to:</w:t>
      </w:r>
    </w:p>
    <w:p>
      <w:pPr>
        <w:spacing w:after="0" w:line="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Cozen O’Connor</w:t>
      </w:r>
    </w:p>
    <w:p>
      <w:pPr>
        <w:spacing w:after="0" w:line="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1650 Market Street, Suite 2800</w:t>
      </w:r>
    </w:p>
    <w:p>
      <w:pPr>
        <w:spacing w:after="0" w:line="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Philadelphia, Pennsylvania 19103</w:t>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3"/>
          <w:szCs w:val="13"/>
          <w:color w:val="auto"/>
        </w:rPr>
        <w:t>Attention:   Larry P. Laubach</w:t>
      </w:r>
    </w:p>
    <w:p>
      <w:pPr>
        <w:spacing w:after="0" w:line="2" w:lineRule="exact"/>
        <w:rPr>
          <w:sz w:val="20"/>
          <w:szCs w:val="20"/>
          <w:color w:val="auto"/>
        </w:rPr>
      </w:pPr>
    </w:p>
    <w:p>
      <w:pPr>
        <w:ind w:left="1960" w:hanging="59"/>
        <w:spacing w:after="0"/>
        <w:tabs>
          <w:tab w:leader="none" w:pos="1960" w:val="left"/>
        </w:tabs>
        <w:numPr>
          <w:ilvl w:val="1"/>
          <w:numId w:val="1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 Eli Wolfe</w:t>
      </w:r>
    </w:p>
    <w:p>
      <w:pPr>
        <w:spacing w:after="0" w:line="25" w:lineRule="exact"/>
        <w:rPr>
          <w:rFonts w:ascii="Times New Roman" w:cs="Times New Roman" w:eastAsia="Times New Roman" w:hAnsi="Times New Roman"/>
          <w:sz w:val="11"/>
          <w:szCs w:val="11"/>
          <w:color w:val="auto"/>
        </w:rPr>
      </w:pPr>
    </w:p>
    <w:p>
      <w:pPr>
        <w:ind w:left="14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Email: llaubach@cozen.com</w:t>
      </w:r>
    </w:p>
    <w:p>
      <w:pPr>
        <w:spacing w:after="0" w:line="2" w:lineRule="exact"/>
        <w:rPr>
          <w:rFonts w:ascii="Times New Roman" w:cs="Times New Roman" w:eastAsia="Times New Roman" w:hAnsi="Times New Roman"/>
          <w:sz w:val="11"/>
          <w:szCs w:val="11"/>
          <w:color w:val="auto"/>
        </w:rPr>
      </w:pPr>
    </w:p>
    <w:p>
      <w:pPr>
        <w:ind w:left="1780" w:hanging="132"/>
        <w:spacing w:after="0"/>
        <w:tabs>
          <w:tab w:leader="none" w:pos="178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ewolfe@cozen.com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or to such other address or email address for a party as shall be specified in a notice given in accordance with this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9.3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59" w:firstLine="693"/>
        <w:spacing w:after="0" w:line="255" w:lineRule="auto"/>
        <w:tabs>
          <w:tab w:leader="none" w:pos="1508"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75" w:lineRule="auto"/>
        <w:tabs>
          <w:tab w:leader="none" w:pos="1515"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Disclosure of any fact, circumstance or information in any Section or subsection of the Company Disclosure Letter or Parent Disclosure Letter shall be deemed to be disclosure of such fact, circumstance or information with respect to any other Section or subsection of the Company Disclosure Letter or Parent Disclosure Letter, respectively, to the extent that it is reasonably apparent on the face of such disclosure that such disclosure is relevant to any such other Section or subsection. The inclusion of any item in the Company Disclosure Letter or Parent Disclosure Letter shall not be deemed to be an acknowledgment that the information is required to be disclosed or admission or evidence of materiality of such item.</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659" w:firstLine="693"/>
        <w:spacing w:after="0" w:line="265" w:lineRule="auto"/>
        <w:tabs>
          <w:tab w:leader="none" w:pos="150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words “hereof,” “herein,” “hereby,” “hereunder,” “herewith” and words of similar import shall refer to this Agreement as a whole and not to any particular provision of this Agreement. The word “extent” in the phrase “to the extent” shall mean the degree to which a subject or other thing extends, and such phrase shall not mean simply “if”. References to articles, sections, clauses, paragraphs, exhibits, annexes and schedules are to the articles, sections, clauses and paragraphs of, and exhibits, annexes and schedules to, this Agreement, unless otherwise specified, and the table of contents and headings in this Agreement are for reference purposes only and shall not affect in any way the meaning or interpretation of this Agreement (but, for the avoidance of doubt, articles, sections, clauses, paragraphs, exhibits, annexes and schedules (inclusive of the Company Disclosure Letter and Parent Disclosure Letter) shall be considered part of this Agreement). Whenever the words “include,” “includes” or “including” are used in this Agreement, they shall be deemed to be followed by the phrase “without limitation.” Words describing the singular number shall be deemed to include the plural and vice versa, words denoting any gender shall be deemed to include all genders, words denoting natural persons shall be deemed to include business entities and vice versa and references to a Person are also to its permitted successors and assigns. The phrases “the date of this Agreement” and “the date hereof” and terms or phrases of similar import shall be deemed to refer to the date set forth in the Preamble, unless the context requires otherwise. When used in reference to the Company or its Subsidiaries, the term “material” shall be measured against the Company and its Subsidiaries, taken as a whole. References to any Law shall mean such Law as from time to time amended, modified or supplemented and to any rules or regulations promulgated thereunder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 Terms defined in the text of this Agreement have such meaning throughout this Agreement, unless otherwise indicated in this Agreement, and all terms defined in this Agreement shall have the meanings when used in any certificate or other document made or delivered pursuant hereto unless otherwise defined therein. All references to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refer to currency of the United States of America. All references to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color w:val="auto"/>
        </w:rPr>
        <w:t>United States</w:t>
      </w:r>
      <w:r>
        <w:rPr>
          <w:rFonts w:ascii="Times New Roman" w:cs="Times New Roman" w:eastAsia="Times New Roman" w:hAnsi="Times New Roman"/>
          <w:sz w:val="12"/>
          <w:szCs w:val="12"/>
          <w:color w:val="auto"/>
        </w:rPr>
        <w:t>” are to the United States of America, including its territories and possessions. Any reference to “</w:t>
      </w:r>
      <w:r>
        <w:rPr>
          <w:rFonts w:ascii="Times New Roman" w:cs="Times New Roman" w:eastAsia="Times New Roman" w:hAnsi="Times New Roman"/>
          <w:sz w:val="12"/>
          <w:szCs w:val="12"/>
          <w:b w:val="1"/>
          <w:bCs w:val="1"/>
          <w:color w:val="auto"/>
        </w:rPr>
        <w:t>days</w:t>
      </w:r>
      <w:r>
        <w:rPr>
          <w:rFonts w:ascii="Times New Roman" w:cs="Times New Roman" w:eastAsia="Times New Roman" w:hAnsi="Times New Roman"/>
          <w:sz w:val="12"/>
          <w:szCs w:val="12"/>
          <w:color w:val="auto"/>
        </w:rPr>
        <w:t>” means calendar days unless Business Days are expressly specified.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Unless otherwise specified, the words “made available to” or “delivered to” Parent, Merger Sub I or Merger Sub II (or words of similar import) include the documents posted to the VDR at least two (2) calendar days prior to the date hereof. All references in this Agreement to “stockholder” shall when referring to the Company mean “shareholder.”</w:t>
      </w:r>
    </w:p>
    <w:p>
      <w:pPr>
        <w:spacing w:after="0" w:line="286" w:lineRule="exact"/>
        <w:rPr>
          <w:sz w:val="20"/>
          <w:szCs w:val="20"/>
          <w:color w:val="auto"/>
        </w:rPr>
      </w:pPr>
    </w:p>
    <w:p>
      <w:pPr>
        <w:ind w:left="640" w:right="699" w:firstLine="309"/>
        <w:spacing w:after="0" w:line="246" w:lineRule="auto"/>
        <w:rPr>
          <w:sz w:val="20"/>
          <w:szCs w:val="20"/>
          <w:color w:val="auto"/>
        </w:rPr>
      </w:pPr>
      <w:r>
        <w:rPr>
          <w:rFonts w:ascii="Times New Roman" w:cs="Times New Roman" w:eastAsia="Times New Roman" w:hAnsi="Times New Roman"/>
          <w:sz w:val="13"/>
          <w:szCs w:val="13"/>
          <w:color w:val="auto"/>
        </w:rPr>
        <w:t xml:space="preserve">Section 9.4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xml:space="preserve">. If any term, provision, covenant or restriction of this Agreement or the application thereof to any Person or circumstance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Mergers be consummated as originally contemplated to the fullest extent possible. Notwithstanding the foregoing, the parties intend that the remedies and limitations thereon contained in </w:t>
      </w:r>
      <w:r>
        <w:rPr>
          <w:rFonts w:ascii="Times New Roman" w:cs="Times New Roman" w:eastAsia="Times New Roman" w:hAnsi="Times New Roman"/>
          <w:sz w:val="13"/>
          <w:szCs w:val="13"/>
          <w:u w:val="single" w:color="auto"/>
          <w:color w:val="auto"/>
        </w:rPr>
        <w:t>Section 8.3(b)</w:t>
      </w:r>
      <w:r>
        <w:rPr>
          <w:rFonts w:ascii="Times New Roman" w:cs="Times New Roman" w:eastAsia="Times New Roman" w:hAnsi="Times New Roman"/>
          <w:sz w:val="13"/>
          <w:szCs w:val="13"/>
          <w:color w:val="auto"/>
        </w:rPr>
        <w:t xml:space="preserve"> be construed as an integral provision of this Agreement and that such remedies and limitations shall not be severable in any manner that increases a party’s liability or obligations hereunder.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79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9.5 </w:t>
      </w: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hereto and their respective permitted successors and assigns. Any attempted assignment in violation of this </w:t>
      </w:r>
      <w:r>
        <w:rPr>
          <w:rFonts w:ascii="Times New Roman" w:cs="Times New Roman" w:eastAsia="Times New Roman" w:hAnsi="Times New Roman"/>
          <w:sz w:val="13"/>
          <w:szCs w:val="13"/>
          <w:u w:val="single" w:color="auto"/>
          <w:color w:val="auto"/>
        </w:rPr>
        <w:t>Section 9.5</w:t>
      </w:r>
      <w:r>
        <w:rPr>
          <w:rFonts w:ascii="Times New Roman" w:cs="Times New Roman" w:eastAsia="Times New Roman" w:hAnsi="Times New Roman"/>
          <w:sz w:val="13"/>
          <w:szCs w:val="13"/>
          <w:color w:val="auto"/>
        </w:rPr>
        <w:t xml:space="preserve"> shall be null and void.</w:t>
      </w:r>
    </w:p>
    <w:p>
      <w:pPr>
        <w:spacing w:after="0" w:line="133" w:lineRule="exact"/>
        <w:rPr>
          <w:sz w:val="20"/>
          <w:szCs w:val="20"/>
          <w:color w:val="auto"/>
        </w:rPr>
      </w:pPr>
    </w:p>
    <w:p>
      <w:pPr>
        <w:ind w:left="640" w:right="799" w:firstLine="309"/>
        <w:spacing w:after="0" w:line="286" w:lineRule="auto"/>
        <w:rPr>
          <w:sz w:val="20"/>
          <w:szCs w:val="20"/>
          <w:color w:val="auto"/>
        </w:rPr>
      </w:pPr>
      <w:r>
        <w:rPr>
          <w:rFonts w:ascii="Times New Roman" w:cs="Times New Roman" w:eastAsia="Times New Roman" w:hAnsi="Times New Roman"/>
          <w:sz w:val="12"/>
          <w:szCs w:val="12"/>
          <w:color w:val="auto"/>
        </w:rPr>
        <w:t xml:space="preserve">Section 9.6 </w:t>
      </w: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(including the exhibits, annexes and appendices hereto) constitutes, together with the Confidentiality Agreement, the Company Disclosure Letter and the Parent Disclosure Letter, the entire agreement, and supersedes all other prior agreements and understandings, both written and oral, among the parties hereto, or any of them, in each case with respect to the subject matter hereof.</w:t>
      </w:r>
    </w:p>
    <w:p>
      <w:pPr>
        <w:spacing w:after="0" w:line="11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 xml:space="preserve">Section 9.7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This Agreement is not intended to and shall not confer upon any Person other than the parties hereto any rights or remedies hereunder;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it is specifically intended that (A) the Indemnified Parties (with respect to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from and after the First Effective Time) and (B) the Company Related Parties and Parent Related Parties (with respect to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are express third-party beneficiaries of this Agreement. The representations and warranties in this Agreement are the product of negotiations among the parties hereto and are for the sole benefit of the parties hereto.</w:t>
      </w:r>
    </w:p>
    <w:p>
      <w:pPr>
        <w:spacing w:after="0" w:line="13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 xml:space="preserve">Section 9.8 </w:t>
      </w:r>
      <w:r>
        <w:rPr>
          <w:rFonts w:ascii="Times New Roman" w:cs="Times New Roman" w:eastAsia="Times New Roman" w:hAnsi="Times New Roman"/>
          <w:sz w:val="13"/>
          <w:szCs w:val="13"/>
          <w:u w:val="single" w:color="auto"/>
          <w:color w:val="auto"/>
        </w:rPr>
        <w:t>Governing Law</w:t>
      </w:r>
      <w:r>
        <w:rPr>
          <w:rFonts w:ascii="Times New Roman" w:cs="Times New Roman" w:eastAsia="Times New Roman" w:hAnsi="Times New Roman"/>
          <w:sz w:val="13"/>
          <w:szCs w:val="13"/>
          <w:color w:val="auto"/>
        </w:rPr>
        <w:t>. This Agreement and all Actions (whether based on contract, tort or otherwise) arising out of or relating to this Agreement or the actions of the Company, Parent, Merger Sub I or Merger Sub II in the negotiation, administration, performance and enforcement thereof, shall be governed by, and construed in accordance with the laws of the State of Delaware, without giving effect to any choice or conflict of laws provision or rule (whether of the State of Delaware or any other jurisdiction) that would cause the application of the Laws of any jurisdiction other than the State of Delaware (except that the laws of California shall apply with respect to any provisions of this Agreement where such laws are mandatorily applicable to such provisions).</w:t>
      </w:r>
    </w:p>
    <w:p>
      <w:pPr>
        <w:spacing w:after="0" w:line="135" w:lineRule="exact"/>
        <w:rPr>
          <w:sz w:val="20"/>
          <w:szCs w:val="20"/>
          <w:color w:val="auto"/>
        </w:rPr>
      </w:pPr>
    </w:p>
    <w:p>
      <w:pPr>
        <w:ind w:left="640" w:right="679" w:firstLine="309"/>
        <w:spacing w:after="0" w:line="245" w:lineRule="auto"/>
        <w:rPr>
          <w:sz w:val="20"/>
          <w:szCs w:val="20"/>
          <w:color w:val="auto"/>
        </w:rPr>
      </w:pPr>
      <w:r>
        <w:rPr>
          <w:rFonts w:ascii="Times New Roman" w:cs="Times New Roman" w:eastAsia="Times New Roman" w:hAnsi="Times New Roman"/>
          <w:sz w:val="13"/>
          <w:szCs w:val="13"/>
          <w:color w:val="auto"/>
        </w:rPr>
        <w:t xml:space="preserve">Section 9.9 </w:t>
      </w: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The parties hereto acknowledge and agree that irreparable damage for which monetary damages, even if available, would not be an adequate remedy, would occur in the event that the parties hereto do not perform the provisions of this Agreement (including failing to take such actions as are required of it hereunder to consummate this Agreement) in accordance with its specified terms or otherwise breach such provisions. Accordingly, the parties hereto acknowledge and agree that the parties hereto shall be entitled to an injunction, specific performance and other equitable relief to prevent breaches of this Agreement and to enforce specifically the terms and provisions hereof (including the right of a party hereto to cause the other parties hereto to consummate the Mergers and the other transactions contemplated by this Agreement), in addition to any other remedy to which they are entitled at law or in equity. Each of the parties hereto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any other equitable relief to prevent breaches of this Agreement and to enforce specifically the terms and provisions of this Agreement shall not be required to provide any bond or other security in connection with any such Order.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2" w:name="page103"/>
    <w:bookmarkEnd w:id="10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9.10 </w:t>
      </w:r>
      <w:r>
        <w:rPr>
          <w:rFonts w:ascii="Times New Roman" w:cs="Times New Roman" w:eastAsia="Times New Roman" w:hAnsi="Times New Roman"/>
          <w:sz w:val="13"/>
          <w:szCs w:val="13"/>
          <w:u w:val="single" w:color="auto"/>
          <w:color w:val="auto"/>
        </w:rPr>
        <w:t>Consent to Jurisdiction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3"/>
        <w:spacing w:after="0" w:line="267" w:lineRule="auto"/>
        <w:tabs>
          <w:tab w:leader="none" w:pos="1508" w:val="left"/>
        </w:tabs>
        <w:numPr>
          <w:ilvl w:val="1"/>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parties hereto hereby, with respect to any Action arising out of this Agreement or the transactions contemplated by this Agreement, (a) expressly and irrevocably submits to the exclusive personal jurisdiction of the state courts of Delaware, any other court of the State of Delaware or any federal court sitting in the State of Delaware, (b) agrees that it will not attempt to deny or defeat such personal jurisdiction by motion or other request for leave from any such court, (c) agrees that it will not bring any Action relating to this Agreement or the transactions contemplated hereby in any court other than the courts of the State of Delaware or any federal court sitting in the State of Delaware, (d) irrevocably waives, to the fullest extent it may legally and effectively do so, any objection which it may now or hereafter have to the laying of venue of any such Action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4" w:lineRule="auto"/>
        <w:tabs>
          <w:tab w:leader="none" w:pos="812"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each of the other parties hereto shall have the right to bring any Action for enforcement of a judgment entered by the state courts of Delaware, any other court of the State of Delaware or any federal court sitting in the State of Delaware. Each of the Company, Parent, Merger Sub I and Merger Sub II agrees that a final judgment in any Action shall be conclusive and may be enforced in other jurisdictions by suit on the judgment or in any other manner provided by Law.</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51" w:lineRule="auto"/>
        <w:tabs>
          <w:tab w:leader="none" w:pos="1515"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party irrevocably consents to the service of process in the manner provided for notices in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and agrees that service made in such manner shall have the same legal force and effect as if served upon such party personally within the State of Delaware. However, the foregoing shall not limit the right of a party to effect service of process on the other party by any other legally available method. Nothing in this Agreement will affect the right of any party to this Agreement to serve process in any other manner permitted by applicable Law.</w:t>
      </w:r>
    </w:p>
    <w:p>
      <w:pPr>
        <w:spacing w:after="0" w:line="133"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 xml:space="preserve">Section 9.11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multiple counterparts, all of which shall together be considered one and the same agreement. Delivery of an executed signature page to this Agreement by electronic transmission shall be as effective as delivery of a manually signed counterpart of this Agreement.</w:t>
      </w:r>
    </w:p>
    <w:p>
      <w:pPr>
        <w:spacing w:after="0" w:line="130" w:lineRule="exact"/>
        <w:rPr>
          <w:sz w:val="20"/>
          <w:szCs w:val="20"/>
          <w:color w:val="auto"/>
        </w:rPr>
      </w:pPr>
    </w:p>
    <w:p>
      <w:pPr>
        <w:ind w:left="640" w:right="719" w:firstLine="309"/>
        <w:spacing w:after="0" w:line="269" w:lineRule="auto"/>
        <w:rPr>
          <w:sz w:val="20"/>
          <w:szCs w:val="20"/>
          <w:color w:val="auto"/>
        </w:rPr>
      </w:pPr>
      <w:r>
        <w:rPr>
          <w:rFonts w:ascii="Times New Roman" w:cs="Times New Roman" w:eastAsia="Times New Roman" w:hAnsi="Times New Roman"/>
          <w:sz w:val="12"/>
          <w:szCs w:val="12"/>
          <w:color w:val="auto"/>
        </w:rPr>
        <w:t xml:space="preserve">Section 9.12 </w:t>
      </w:r>
      <w:r>
        <w:rPr>
          <w:rFonts w:ascii="Times New Roman" w:cs="Times New Roman" w:eastAsia="Times New Roman" w:hAnsi="Times New Roman"/>
          <w:sz w:val="12"/>
          <w:szCs w:val="12"/>
          <w:u w:val="single" w:color="auto"/>
          <w:color w:val="auto"/>
        </w:rPr>
        <w:t>WAIVER OF JURY TRIAL</w:t>
      </w:r>
      <w:r>
        <w:rPr>
          <w:rFonts w:ascii="Times New Roman" w:cs="Times New Roman" w:eastAsia="Times New Roman" w:hAnsi="Times New Roman"/>
          <w:sz w:val="12"/>
          <w:szCs w:val="12"/>
          <w:color w:val="auto"/>
        </w:rPr>
        <w:t xml:space="preserve">. EACH OF PARENT, MERGER SUB I, MERGER SUB II AND THE COMPANY HEREBY IRREVOCABLY WAIVES, TO THE FULLEST EXTENT PERMITTED BY LAW, ALL RIGHT TO TRIAL BY JURY IN ANY ACTION (WHETHER BASED ON CONTRACT, TORT OR OTHERWISE) ARISING OUT OF OR RELATING TO THIS AGREEMENT, THE MERGERS, ANY OF THE OTHER TRANSACTIONS CONTEMPLATED BY THIS AGREEMENT OR THE ACTIONS OF PARENT, MERGER SUB I, MERGER SUB II OR THE COMPANY IN THE NEGOTIATION, ADMINISTRATION, PERFORMANCE AND ENFORCEMENT THEREOF. EACH PARTY HERETO (A) CERTIFIES THAT NO REPRESENTATIVE, AGENT OR ATTORNEY OF ANY OTHER PARTY HAS REPRESENTED, EXPRESSLY OR OTHERWISE, THAT SUCH PARTY WOULD NOT, IN THE EVENT OF ANY ACTION, SEEK TO ENFORCE THE FOREGOING WAIVER AND (B)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2"/>
          <w:szCs w:val="12"/>
          <w:u w:val="single" w:color="auto"/>
          <w:color w:val="auto"/>
        </w:rPr>
        <w:t>SECTION 9.12</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 signature page follows</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3" w:name="page104"/>
    <w:bookmarkEnd w:id="103"/>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Parent, Merger Sub I, Merger Sub II and the Company have caused this Agreement to be executed as of the date first written above by their respective officers thereunto duly authorized.</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Chief Operating Officer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President and Secretary</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CANTALOUPE MERGER SUB II, LLC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John Pawlowski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John Pawlowski</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Manager</w:t>
      </w:r>
    </w:p>
    <w:p>
      <w:pPr>
        <w:spacing w:after="0" w:line="1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CALAVO GROWERS,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 /s/ Kathleen Holmgren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9525</wp:posOffset>
            </wp:positionV>
            <wp:extent cx="179959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 Kathleen M. Holmgren</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 Chair of the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Agreement and Plan of Merger</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As used in this Agreement, the following terms shall have the following meanings: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Action</w:t>
      </w:r>
      <w:r>
        <w:rPr>
          <w:rFonts w:ascii="Times New Roman" w:cs="Times New Roman" w:eastAsia="Times New Roman" w:hAnsi="Times New Roman"/>
          <w:sz w:val="13"/>
          <w:szCs w:val="13"/>
          <w:color w:val="auto"/>
        </w:rPr>
        <w:t>” shall mean any claim, demand, action, complaint, suit or proceeding.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set forth in Rule 12b-2 of the Exchange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Agreed Parent Share Price</w:t>
      </w:r>
      <w:r>
        <w:rPr>
          <w:rFonts w:ascii="Times New Roman" w:cs="Times New Roman" w:eastAsia="Times New Roman" w:hAnsi="Times New Roman"/>
          <w:sz w:val="13"/>
          <w:szCs w:val="13"/>
          <w:color w:val="auto"/>
        </w:rPr>
        <w:t>” means $12.41.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shall mean this Agreement and Plan of Merger.</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Cash Amount</w:t>
      </w:r>
      <w:r>
        <w:rPr>
          <w:rFonts w:ascii="Times New Roman" w:cs="Times New Roman" w:eastAsia="Times New Roman" w:hAnsi="Times New Roman"/>
          <w:sz w:val="13"/>
          <w:szCs w:val="13"/>
          <w:color w:val="auto"/>
        </w:rPr>
        <w:t xml:space="preserve">” means the aggregate amount of cash to be paid to holders of Company Common Stock (including in respect of any Dissenting Shares and any fractional shares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in exchange for their Company Common Stock. Solely for purposes of </w:t>
      </w:r>
      <w:r>
        <w:rPr>
          <w:rFonts w:ascii="Times New Roman" w:cs="Times New Roman" w:eastAsia="Times New Roman" w:hAnsi="Times New Roman"/>
          <w:sz w:val="13"/>
          <w:szCs w:val="13"/>
          <w:u w:val="single" w:color="auto"/>
          <w:color w:val="auto"/>
        </w:rPr>
        <w:t>Section 6.19</w:t>
      </w:r>
      <w:r>
        <w:rPr>
          <w:rFonts w:ascii="Times New Roman" w:cs="Times New Roman" w:eastAsia="Times New Roman" w:hAnsi="Times New Roman"/>
          <w:sz w:val="13"/>
          <w:szCs w:val="13"/>
          <w:color w:val="auto"/>
        </w:rPr>
        <w:t xml:space="preserve"> and the definitions used therein, the amount of cash payable with respect to a Dissenting Share shall be deemed to be (i) the Agreed Parent Share Price </w:t>
      </w:r>
      <w:r>
        <w:rPr>
          <w:rFonts w:ascii="Times New Roman" w:cs="Times New Roman" w:eastAsia="Times New Roman" w:hAnsi="Times New Roman"/>
          <w:sz w:val="13"/>
          <w:szCs w:val="13"/>
          <w:i w:val="1"/>
          <w:iCs w:val="1"/>
          <w:color w:val="auto"/>
        </w:rPr>
        <w:t xml:space="preserve">multiplied by </w:t>
      </w:r>
      <w:r>
        <w:rPr>
          <w:rFonts w:ascii="Times New Roman" w:cs="Times New Roman" w:eastAsia="Times New Roman" w:hAnsi="Times New Roman"/>
          <w:sz w:val="13"/>
          <w:szCs w:val="13"/>
          <w:color w:val="auto"/>
        </w:rPr>
        <w:t>the Exchange Ratio</w:t>
      </w:r>
      <w:r>
        <w:rPr>
          <w:rFonts w:ascii="Times New Roman" w:cs="Times New Roman" w:eastAsia="Times New Roman" w:hAnsi="Times New Roman"/>
          <w:sz w:val="13"/>
          <w:szCs w:val="13"/>
          <w:i w:val="1"/>
          <w:iCs w:val="1"/>
          <w:color w:val="auto"/>
        </w:rPr>
        <w:t xml:space="preserve"> plus </w:t>
      </w:r>
      <w:r>
        <w:rPr>
          <w:rFonts w:ascii="Times New Roman" w:cs="Times New Roman" w:eastAsia="Times New Roman" w:hAnsi="Times New Roman"/>
          <w:sz w:val="13"/>
          <w:szCs w:val="13"/>
          <w:color w:val="auto"/>
        </w:rPr>
        <w:t>(ii) the Per Share Cash Consideration (it being understood that the actual amount that would be payable in respect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any Dissenting Shares following completion of a proceeding determining the “fair value” of such Dissenting Shares would be determined pursuant to such proceeding in accordance with the applicable provisions of the CCC).</w:t>
      </w:r>
    </w:p>
    <w:p>
      <w:pPr>
        <w:spacing w:after="0" w:line="135"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Stock Consideration</w:t>
      </w:r>
      <w:r>
        <w:rPr>
          <w:rFonts w:ascii="Times New Roman" w:cs="Times New Roman" w:eastAsia="Times New Roman" w:hAnsi="Times New Roman"/>
          <w:sz w:val="13"/>
          <w:szCs w:val="13"/>
          <w:color w:val="auto"/>
        </w:rPr>
        <w:t xml:space="preserve">” means the product of (i) the aggregate number of Parent Shares to be delivered to the holders of Company Common Stock in exchange for their Company Common Stock pursuant to this Agreement (for the avoidance of doubt, disregarding any fractional shares in respect of which cash is paid pursuant to </w:t>
      </w:r>
      <w:r>
        <w:rPr>
          <w:rFonts w:ascii="Times New Roman" w:cs="Times New Roman" w:eastAsia="Times New Roman" w:hAnsi="Times New Roman"/>
          <w:sz w:val="13"/>
          <w:szCs w:val="13"/>
          <w:u w:val="single" w:color="auto"/>
          <w:color w:val="auto"/>
        </w:rPr>
        <w:t>Section 3.6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multiplied by</w:t>
      </w:r>
      <w:r>
        <w:rPr>
          <w:rFonts w:ascii="Times New Roman" w:cs="Times New Roman" w:eastAsia="Times New Roman" w:hAnsi="Times New Roman"/>
          <w:sz w:val="13"/>
          <w:szCs w:val="13"/>
          <w:color w:val="auto"/>
        </w:rPr>
        <w:t xml:space="preserve"> (ii) the Agreed Parent Share Price.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Anti-Bribery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Antitrust Laws</w:t>
      </w:r>
      <w:r>
        <w:rPr>
          <w:rFonts w:ascii="Times New Roman" w:cs="Times New Roman" w:eastAsia="Times New Roman" w:hAnsi="Times New Roman"/>
          <w:sz w:val="13"/>
          <w:szCs w:val="13"/>
          <w:color w:val="auto"/>
        </w:rPr>
        <w:t>” shall mean the Sherman Act of 1890, as amended; the Clayton Act of 1914, as amended; the Federal Trade Commission Act of 1914, as amended; the HSR Act, and all other federal, state, foreign or supranational Laws or Orders in effect from time to time that are designed or intended to prohibit, restrict or regulate actions having the purpose or effect of monopolization or restraint of trade or lessening of competition through merger or acquisition.</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Blue Sky Laws</w:t>
      </w:r>
      <w:r>
        <w:rPr>
          <w:rFonts w:ascii="Times New Roman" w:cs="Times New Roman" w:eastAsia="Times New Roman" w:hAnsi="Times New Roman"/>
          <w:sz w:val="13"/>
          <w:szCs w:val="13"/>
          <w:color w:val="auto"/>
        </w:rPr>
        <w:t>” shall mean state securities or “blue sky”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Book-Entry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shall mean any day other than a Saturday, Sunday or a day on which all banking institutions in New York, New York or Governmental Authorities in the State of California are authorized or obligated by Law or executive order to close.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1">
            <w:col w:w="9019"/>
          </w:cols>
          <w:pgMar w:left="1440" w:top="229" w:right="1440" w:bottom="1440" w:gutter="0" w:footer="0" w:header="0"/>
        </w:sectPr>
      </w:pPr>
    </w:p>
    <w:bookmarkStart w:id="105" w:name="page106"/>
    <w:bookmarkEnd w:id="10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CCC</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CERCLA</w:t>
      </w:r>
      <w:r>
        <w:rPr>
          <w:rFonts w:ascii="Times New Roman" w:cs="Times New Roman" w:eastAsia="Times New Roman" w:hAnsi="Times New Roman"/>
          <w:sz w:val="13"/>
          <w:szCs w:val="13"/>
          <w:color w:val="auto"/>
        </w:rPr>
        <w:t>” shall have the meaning set forth in the definition of Environmental Laws.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First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 of Second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shall mean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shall mean Calavo Growers, Inc., a California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401(k) Plan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shall mean the board of directors of the Company.</w:t>
      </w:r>
    </w:p>
    <w:p>
      <w:pPr>
        <w:spacing w:after="0" w:line="154"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Benefit Plan</w:t>
      </w:r>
      <w:r>
        <w:rPr>
          <w:rFonts w:ascii="Times New Roman" w:cs="Times New Roman" w:eastAsia="Times New Roman" w:hAnsi="Times New Roman"/>
          <w:sz w:val="13"/>
          <w:szCs w:val="13"/>
          <w:color w:val="auto"/>
        </w:rPr>
        <w:t>” shall mean (a) each “employee benefit plan” (within the meaning of Section 3(3) of ERISA, whether or not subject to ERISA), including any similar plan subject to laws of a jurisdiction outside of the United States, and (b) each other employment agreement, bonus, stock option, stock unit, restricted stock, stock purchase or other incentive equity or equity-based, benefit, incentive compensation, profit sharing, savings, retirement, disability, insurance, vacation, incentive, deferred compensation, severance, separation, termination, retention, change of control and other fringe, welfare or other plan, program, agreement, contracts policy or arrangement (whether or not in writing) providing for benefits or compensation, in each case, (i) which is maintained, sponsored or contributed to (or required to be contributed to) for the benefit of or relating to any current or former director, officer, consultant, employee or other individual service provider of the Company or its Subsidiaries or (ii) with respect to which the Company or any of its Subsidiaries has any liability or obligation, whether fixed or contingent.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Bylaws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Charter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Company’s Counsel</w:t>
      </w:r>
      <w:r>
        <w:rPr>
          <w:rFonts w:ascii="Times New Roman" w:cs="Times New Roman" w:eastAsia="Times New Roman" w:hAnsi="Times New Roman"/>
          <w:sz w:val="13"/>
          <w:szCs w:val="13"/>
          <w:color w:val="auto"/>
        </w:rPr>
        <w:t>” shall mean Cozen O’Connor (or other nationally recognized Tax counsel as may be reasonably acceptable to Parent and the Company).</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A-2</w:t>
      </w:r>
    </w:p>
    <w:p>
      <w:pPr>
        <w:sectPr>
          <w:pgSz w:w="11900" w:h="16838" w:orient="portrait"/>
          <w:cols w:equalWidth="0" w:num="1">
            <w:col w:w="9019"/>
          </w:cols>
          <w:pgMar w:left="1440" w:top="229" w:right="1440" w:bottom="1440" w:gutter="0" w:footer="0" w:header="0"/>
        </w:sectPr>
      </w:pPr>
    </w:p>
    <w:bookmarkStart w:id="106" w:name="page107"/>
    <w:bookmarkEnd w:id="106"/>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Deferred RSU</w:t>
      </w:r>
      <w:r>
        <w:rPr>
          <w:rFonts w:ascii="Times New Roman" w:cs="Times New Roman" w:eastAsia="Times New Roman" w:hAnsi="Times New Roman"/>
          <w:sz w:val="13"/>
          <w:szCs w:val="13"/>
          <w:color w:val="auto"/>
        </w:rPr>
        <w:t>” shall mean each restricted stock unit granted pursuant to a Company Equity Plan or otherwise pursuant to which the holder has a right to receive shares of Company Common Stock or cash on a deferred basis following the vesting or lapse of restrictions applicable to such restricted stock unit.</w:t>
      </w:r>
    </w:p>
    <w:p>
      <w:pPr>
        <w:spacing w:after="0" w:line="126"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Disclosure Letter</w:t>
      </w:r>
      <w:r>
        <w:rPr>
          <w:rFonts w:ascii="Times New Roman" w:cs="Times New Roman" w:eastAsia="Times New Roman" w:hAnsi="Times New Roman"/>
          <w:sz w:val="13"/>
          <w:szCs w:val="13"/>
          <w:color w:val="auto"/>
        </w:rPr>
        <w:t>” shall mean the disclosure letter delivered by the Company to Parent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Awards</w:t>
      </w:r>
      <w:r>
        <w:rPr>
          <w:rFonts w:ascii="Times New Roman" w:cs="Times New Roman" w:eastAsia="Times New Roman" w:hAnsi="Times New Roman"/>
          <w:sz w:val="13"/>
          <w:szCs w:val="13"/>
          <w:color w:val="auto"/>
        </w:rPr>
        <w:t>” shall mean, collectively, (i) Company Options, (ii) the Company Deferred RSUs and (iii) Company RSUs.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Plan</w:t>
      </w:r>
      <w:r>
        <w:rPr>
          <w:rFonts w:ascii="Times New Roman" w:cs="Times New Roman" w:eastAsia="Times New Roman" w:hAnsi="Times New Roman"/>
          <w:sz w:val="13"/>
          <w:szCs w:val="13"/>
          <w:color w:val="auto"/>
        </w:rPr>
        <w:t>” shall mean, collectively, the Company’s 2020 Equity Incentive Plan and the Company’s 2011 Management Incentive Plan, in each case, as amended and/or restated from time to time.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Advisor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Financial Statements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Intellectual Property</w:t>
      </w:r>
      <w:r>
        <w:rPr>
          <w:rFonts w:ascii="Times New Roman" w:cs="Times New Roman" w:eastAsia="Times New Roman" w:hAnsi="Times New Roman"/>
          <w:sz w:val="13"/>
          <w:szCs w:val="13"/>
          <w:color w:val="auto"/>
        </w:rPr>
        <w:t>” means any and all Intellectual Property, including Registered IP, that is owned by the Company or any of its Subsidiaries.</w:t>
      </w:r>
    </w:p>
    <w:p>
      <w:pPr>
        <w:spacing w:after="0" w:line="119" w:lineRule="exact"/>
        <w:rPr>
          <w:sz w:val="20"/>
          <w:szCs w:val="20"/>
          <w:color w:val="auto"/>
        </w:rPr>
      </w:pPr>
    </w:p>
    <w:p>
      <w:pPr>
        <w:ind w:left="640" w:right="71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shall mean any change, event, effect, fact, condition, development, occurrence, or circumstance which, individually or in the aggregate, has resulted in or would reasonably be expected to (1) prevent, materially impede or materially delay the Company from consummating the First Merger or any of the other transactions contemplated by this Agreement or the Company from performing its obligations under this Agreement or (2) result in a material adverse effect on the business, financial condition, assets, liabilities, or results of operations of the Company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xml:space="preserve"> changes, events, effects, facts, conditions, developments, occurrences or circumstances which, to the extent they relate to or result from the following shall be excluded from the determination of Company Material Adverse Effect: (i) any change, event, effect, fact, condition, development, occurrence or circumstance generally affecting any of the industries or markets in which the Company or its Subsidiaries operate; (ii) any change in any Law or GAAP applicable to the operation of the business of the Company or its Subsidiaries and, to the extent relevant to the business of the Company or its Subsidiaries, in any legal or regulatory requirement or condition or the regulatory enforcement environment; (iii) general economic, regulatory or political conditions (or changes therein) or conditions (or changes therein) in the financial, credit, or securities markets (including changes in interest or currency exchange rates) in any country or region in which the Company or its Subsidiaries conduct business; (iv) any acts of God, natural disasters, force majeure events, terrorism, sabotage, armed hostilities, declared or undeclared acts of war, epidemics, pandemics or disease outbreaks, or any escalation or worsening of any of the foregoing; (v) the negotiation, execution, public announcement, consummation or existence of this Agreement or the transactions contemplated hereby, including by reason of the identity of Parent; (vi) any action taken as required of the Company by the terms of this Agreement (other than its obligations to operate its business in the ordinary course), (vii) any changes in the market price or trading volume of the Company Common Stock, any failure by the Company or its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A-3</w:t>
      </w:r>
    </w:p>
    <w:p>
      <w:pPr>
        <w:sectPr>
          <w:pgSz w:w="11900" w:h="16838" w:orient="portrait"/>
          <w:cols w:equalWidth="0" w:num="1">
            <w:col w:w="9019"/>
          </w:cols>
          <w:pgMar w:left="1440" w:top="229" w:right="1440" w:bottom="1440" w:gutter="0" w:footer="0" w:header="0"/>
        </w:sectPr>
      </w:pPr>
    </w:p>
    <w:bookmarkStart w:id="107" w:name="page108"/>
    <w:bookmarkEnd w:id="107"/>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meet internal, analysts’ or other earnings estimates or financial projections or forecasts for any period, any changes in credit ratings and any changes in any analysts’ recommendations or ratings with respect to the Company or any of its Subsidiaries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facts or occurrences giving rise to or contributing to such changes or failure that are not otherwise excluded from the definition of “Company Material Adverse Effect” may be taken into account in determining whether there has been a Company Material Adverse Effect); except, with respect to clauses (i), (ii), (iii) and (iv), that if any such changes, events, effects, facts, conditions, developments, occurrences or circumstances have a disproportionate effect on the Company and its Subsidiaries relative to other participants in the industries in which the Company and its Subsidiaries operate, such changes, events, effects, facts, conditions, developments, occurrences or circumstances shall be taken into account, to the extent of such disproportionate impact, in determining whether there has been, or there is reasonably likely to occur, a Company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-594995</wp:posOffset>
            </wp:positionV>
            <wp:extent cx="2032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320" cy="5715"/>
                    </a:xfrm>
                    <a:prstGeom prst="rect">
                      <a:avLst/>
                    </a:prstGeom>
                    <a:noFill/>
                  </pic:spPr>
                </pic:pic>
              </a:graphicData>
            </a:graphic>
          </wp:anchor>
        </w:drawing>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Contract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 and (b)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Option</w:t>
      </w:r>
      <w:r>
        <w:rPr>
          <w:rFonts w:ascii="Times New Roman" w:cs="Times New Roman" w:eastAsia="Times New Roman" w:hAnsi="Times New Roman"/>
          <w:sz w:val="13"/>
          <w:szCs w:val="13"/>
          <w:color w:val="auto"/>
        </w:rPr>
        <w:t>” shall mean each outstanding option to purchase shares of Company Common Stock issued under any Company Equity Plan or otherwise.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Commitments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Privacy Policies</w:t>
      </w:r>
      <w:r>
        <w:rPr>
          <w:rFonts w:ascii="Times New Roman" w:cs="Times New Roman" w:eastAsia="Times New Roman" w:hAnsi="Times New Roman"/>
          <w:sz w:val="13"/>
          <w:szCs w:val="13"/>
          <w:color w:val="auto"/>
        </w:rPr>
        <w:t>” shall mean the applicable privacy and security policies, including any public statements made by the Company or its Subsidiaries relating to Personal Information.</w:t>
      </w:r>
    </w:p>
    <w:p>
      <w:pPr>
        <w:spacing w:after="0" w:line="119" w:lineRule="exact"/>
        <w:rPr>
          <w:sz w:val="20"/>
          <w:szCs w:val="20"/>
          <w:color w:val="auto"/>
        </w:rPr>
      </w:pPr>
    </w:p>
    <w:p>
      <w:pPr>
        <w:ind w:left="640" w:right="7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Products</w:t>
      </w:r>
      <w:r>
        <w:rPr>
          <w:rFonts w:ascii="Times New Roman" w:cs="Times New Roman" w:eastAsia="Times New Roman" w:hAnsi="Times New Roman"/>
          <w:sz w:val="12"/>
          <w:szCs w:val="12"/>
          <w:color w:val="auto"/>
        </w:rPr>
        <w:t>” shall mean all products and services offered, marketed, sold, performed, distributed or otherwise made available by the Company or any of its Subsidiaries to the public, as well as any product or service under development by or for the Company or any of its Subsidiaries.</w:t>
      </w:r>
    </w:p>
    <w:p>
      <w:pPr>
        <w:spacing w:after="0" w:line="95"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Recommendation</w:t>
      </w:r>
      <w:r>
        <w:rPr>
          <w:rFonts w:ascii="Times New Roman" w:cs="Times New Roman" w:eastAsia="Times New Roman" w:hAnsi="Times New Roman"/>
          <w:sz w:val="13"/>
          <w:szCs w:val="13"/>
          <w:color w:val="auto"/>
        </w:rPr>
        <w:t>” shall mean the recommendation of the Company Board that the stockholders of the Company vote in favor of the approval of the First Merger.</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RSU</w:t>
      </w:r>
      <w:r>
        <w:rPr>
          <w:rFonts w:ascii="Times New Roman" w:cs="Times New Roman" w:eastAsia="Times New Roman" w:hAnsi="Times New Roman"/>
          <w:sz w:val="12"/>
          <w:szCs w:val="12"/>
          <w:color w:val="auto"/>
        </w:rPr>
        <w:t>” shall mean each restricted stock unit granted pursuant to a Company Equity Plan or otherwise pursuant to which the holder has a right to receive shares of Company Common Stock or cash following the vesting or lapse of restrictions applicable to such restricted stock unit.</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4.6(a)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A-4</w:t>
      </w:r>
    </w:p>
    <w:p>
      <w:pPr>
        <w:sectPr>
          <w:pgSz w:w="11900" w:h="16838" w:orient="portrait"/>
          <w:cols w:equalWidth="0" w:num="1">
            <w:col w:w="9019"/>
          </w:cols>
          <w:pgMar w:left="1440" w:top="231" w:right="1440" w:bottom="1440" w:gutter="0" w:footer="0" w:header="0"/>
        </w:sectPr>
      </w:pPr>
    </w:p>
    <w:bookmarkStart w:id="108" w:name="page109"/>
    <w:bookmarkEnd w:id="10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Stockholder Advisory Vote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Competing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shall mean the confidentiality agreement, dated as of June 25, 2025, by and between Parent and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Continuing Employees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shall mean any written or oral contract, subcontract, lease, sublease, conditional sales contract, purchase order, sales order, task order, delivery order, license, indenture, note, mortgage, bond, loan, instrument, legally binding understanding, legally binding arrangement, legal binding undertaking, legally binding commitment or other agreement, together with all amendments thereto.</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control</w:t>
      </w:r>
      <w:r>
        <w:rPr>
          <w:rFonts w:ascii="Times New Roman" w:cs="Times New Roman" w:eastAsia="Times New Roman" w:hAnsi="Times New Roman"/>
          <w:sz w:val="13"/>
          <w:szCs w:val="13"/>
          <w:color w:val="auto"/>
        </w:rPr>
        <w:t>” (including the terms “controlled by” and “under common control with”) shall mean the possession, directly or indirectly, of the power to direct or cause the direction of the management and policies of a Person, whether through the ownership of voting securities, as trustee or executor, by Contract or credit arrangement or otherwise.</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D&amp;O Insurance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Data Partners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“Deferred 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shall have the meaning set forth in the first Recital.</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Dissenting Shares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shall mean all Laws relating to (i) protection, preservation or restoration of the environment including air, surface water, groundwater, drinking water supply, surface land, subsurface land, plant and animal life or any other natural resource (ii) protection of the health and safety of employees (to the extent relating to exposure to Hazardous Materials) or (iii) pollution or the exposure to, or the use, storage, recycling, treatment, generation, transportation, processing, handling, labeling, production, release or disposal of Hazardous Materials, including Laws relating to Releases of harmful or deleterious materials and the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29" w:right="1440" w:bottom="1440" w:gutter="0" w:footer="0" w:header="0"/>
        </w:sectPr>
      </w:pPr>
    </w:p>
    <w:bookmarkStart w:id="109" w:name="page110"/>
    <w:bookmarkEnd w:id="109"/>
    <w:p>
      <w:pPr>
        <w:ind w:left="640" w:right="65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manufacture, processing, distribution, use, treatment, storage, Release, discharge, transport, cleanup or handling of harmful or deleterious materials, including but not limited to the Hazardous Materials Transportation Act (49 U.S.C. § 5101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Federal Water Pollution Control Act (33 U.S.C. §1251 et seq.), the Resource Conservation and Recovery Act of 1976 (42 U.S.C. §6901 et seq.), the Safe Drinking Water Act (42 U.S.C. §3000(f) et seq.), the Toxic Substances Control Act (15 U.S.C. §2601 et seq.), the Clean Air Act (42 U.S.C. §7401 et seq.), the Oil Pollution Act of 1990 (33 U.S.C. §2701 et seq.), the Comprehensive Environmental Response, Compensation and Liability Act of 1980 (42 U.S.C. §9601 et seq.) (“</w:t>
      </w:r>
      <w:r>
        <w:rPr>
          <w:rFonts w:ascii="Times New Roman" w:cs="Times New Roman" w:eastAsia="Times New Roman" w:hAnsi="Times New Roman"/>
          <w:sz w:val="12"/>
          <w:szCs w:val="12"/>
          <w:b w:val="1"/>
          <w:bCs w:val="1"/>
          <w:color w:val="auto"/>
        </w:rPr>
        <w:t>CERCLA</w:t>
      </w:r>
      <w:r>
        <w:rPr>
          <w:rFonts w:ascii="Times New Roman" w:cs="Times New Roman" w:eastAsia="Times New Roman" w:hAnsi="Times New Roman"/>
          <w:sz w:val="12"/>
          <w:szCs w:val="12"/>
          <w:color w:val="auto"/>
        </w:rPr>
        <w:t xml:space="preserve">”), the Endangered Species Act of 1973 (16 U.S.C. §1531 et seq.), the Federal Insecticide, Fungicide and Rodenticide Act (7 U.S.C. § 136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Occupational Safety and Health Act (29 U.S.C. § 651 </w:t>
      </w:r>
      <w:r>
        <w:rPr>
          <w:rFonts w:ascii="Times New Roman" w:cs="Times New Roman" w:eastAsia="Times New Roman" w:hAnsi="Times New Roman"/>
          <w:sz w:val="12"/>
          <w:szCs w:val="12"/>
          <w:i w:val="1"/>
          <w:iCs w:val="1"/>
          <w:color w:val="auto"/>
        </w:rPr>
        <w:t>et seq.</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General del Equilibrio Ecológico y la Protección al Ambiente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Responsabilidad Ambiental</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de Aguas Nacionales, the Ley General de Aguas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para la Prevención y Gestión Integral de los Residuos</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Vida Silvestre</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General de Desarrollo Forestal Sustentable</w:t>
      </w:r>
      <w:r>
        <w:rPr>
          <w:rFonts w:ascii="Times New Roman" w:cs="Times New Roman" w:eastAsia="Times New Roman" w:hAnsi="Times New Roman"/>
          <w:sz w:val="12"/>
          <w:szCs w:val="12"/>
          <w:color w:val="auto"/>
        </w:rPr>
        <w:t>, each of their state and local counterparts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equivalents, each of their foreign and international equivalents, any transfer of ownership notification or approval statute, as each has been amended and the regulations promulgated pursuant thereto, and other similar state and local statutes, in effect as of the date hereof.</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Award Schedule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Equity Interest</w:t>
      </w:r>
      <w:r>
        <w:rPr>
          <w:rFonts w:ascii="Times New Roman" w:cs="Times New Roman" w:eastAsia="Times New Roman" w:hAnsi="Times New Roman"/>
          <w:sz w:val="13"/>
          <w:szCs w:val="13"/>
          <w:color w:val="auto"/>
        </w:rPr>
        <w:t xml:space="preserve">” means, with respect to any Person, (a) any share, capital stock, partnership, limited liability company interest, membership interest, unit of participation or similar equity interest (however designated and whether voting or non-voting) in such Person, (b) any option, purchase right, conversion right, exchange right, share of restricted stock, restricted stock unit, profits interest, contingent value rights, performance share or unit, subscription, warrant, call, right or other contractual obligation which would entitle any other Person to acquire any equity or equity-based interest in such Person or otherwise entitle any other Person to share in the equity, profits, earnings, losses or gains of such Person (including any interest the value of which is in any way based on, linked to or derived from any interest described in </w:t>
      </w:r>
      <w:r>
        <w:rPr>
          <w:rFonts w:ascii="Times New Roman" w:cs="Times New Roman" w:eastAsia="Times New Roman" w:hAnsi="Times New Roman"/>
          <w:sz w:val="13"/>
          <w:szCs w:val="13"/>
          <w:u w:val="single" w:color="auto"/>
          <w:color w:val="auto"/>
        </w:rPr>
        <w:t>clause (a)</w:t>
      </w:r>
      <w:r>
        <w:rPr>
          <w:rFonts w:ascii="Times New Roman" w:cs="Times New Roman" w:eastAsia="Times New Roman" w:hAnsi="Times New Roman"/>
          <w:sz w:val="13"/>
          <w:szCs w:val="13"/>
          <w:color w:val="auto"/>
        </w:rPr>
        <w:t>, including stock appreciation, phantom stock, profit participation or other similar rights) and (c) and other securities exercisable, exchangeable or convertible into any of the foregoing, including any convertible debt instrument.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shall mean the Employee Retirement Income Security Act of 1974.</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shall mean, for any Person, each entity, Person or trade or business, whether or not incorporated, that, together with such Person, would be deemed a “single employer” within the meaning of Section 4001(b) of ERISA or Section 414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shall mean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Agent Agreement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Fund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3.2(a)</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231" w:right="1440" w:bottom="1440" w:gutter="0" w:footer="0" w:header="0"/>
        </w:sectPr>
      </w:pPr>
    </w:p>
    <w:bookmarkStart w:id="110" w:name="page111"/>
    <w:bookmarkEnd w:id="110"/>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0.9790 shares of Parent Shares for each share of Company Common Stock.</w:t>
      </w:r>
    </w:p>
    <w:p>
      <w:pPr>
        <w:spacing w:after="0" w:line="154" w:lineRule="exact"/>
        <w:rPr>
          <w:sz w:val="20"/>
          <w:szCs w:val="20"/>
          <w:color w:val="auto"/>
        </w:rPr>
      </w:pPr>
    </w:p>
    <w:p>
      <w:pPr>
        <w:ind w:left="640" w:right="71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Expenses</w:t>
      </w:r>
      <w:r>
        <w:rPr>
          <w:rFonts w:ascii="Times New Roman" w:cs="Times New Roman" w:eastAsia="Times New Roman" w:hAnsi="Times New Roman"/>
          <w:sz w:val="13"/>
          <w:szCs w:val="13"/>
          <w:color w:val="auto"/>
        </w:rPr>
        <w:t>” shall mean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the preparation, printing, filing and mailing of the Joint Proxy Statement/Prospectus and the Form S-4 and all SEC and other regulatory filing fees incurred in connection with the Joint Proxy Statement/Prospectus and the Form S-4, the solicitation of stockholder approvals, any filing with, and obtaining of any necessary action or non-action, Consent or approval from any Governmental Authority pursuant to any Antitrust Laws, engaging the services of the Exchange Agent, any other filings with the SEC and all other matters related to the Closing and the other transactions contemplated by this Agreement.</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Fairness Opinion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Filing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Food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4.29(b)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Foreign Benefit Plan</w:t>
      </w:r>
      <w:r>
        <w:rPr>
          <w:rFonts w:ascii="Times New Roman" w:cs="Times New Roman" w:eastAsia="Times New Roman" w:hAnsi="Times New Roman"/>
          <w:sz w:val="13"/>
          <w:szCs w:val="13"/>
          <w:color w:val="auto"/>
        </w:rPr>
        <w:t>” shall mean a Company Benefit Plan that provides compensation or benefits to any current or former director, officer, individual consultant, employee or other individual service provider of the Company or its Subsidiaries who provides, or provided, services to the Company or such Subsidiary from a primary work location outside of the United States.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Form S-4</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Fractional Share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shall mean the United States generally accepted accounting principles.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shall mean any supranational, national, federal, state, county, municipal, local or foreign government or other political subdivision thereof, or any agency or instrumentality of such government or political subdivision, any arbitrator, court or tribunal of competent jurisdiction, any entity exercising executive, legislative, judicial, regulatory, taxing, administrative, prosecutorial or arbitral functions of or pertaining to government, or any self-regulatory organization or other non-governmental regulatory authority or quasi-governmental authority (to the extent that the rules, regulations or orders of such organization or authority have the force of Law), in each case of competent jurisdiction and with authority to act with respect to the matter in question.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A-7</w:t>
      </w:r>
    </w:p>
    <w:p>
      <w:pPr>
        <w:sectPr>
          <w:pgSz w:w="11900" w:h="16838" w:orient="portrait"/>
          <w:cols w:equalWidth="0" w:num="1">
            <w:col w:w="9019"/>
          </w:cols>
          <w:pgMar w:left="1440" w:top="229" w:right="1440" w:bottom="1440" w:gutter="0" w:footer="0" w:header="0"/>
        </w:sectPr>
      </w:pPr>
    </w:p>
    <w:bookmarkStart w:id="111" w:name="page112"/>
    <w:bookmarkEnd w:id="111"/>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Government Official</w:t>
      </w:r>
      <w:r>
        <w:rPr>
          <w:rFonts w:ascii="Times New Roman" w:cs="Times New Roman" w:eastAsia="Times New Roman" w:hAnsi="Times New Roman"/>
          <w:sz w:val="13"/>
          <w:szCs w:val="13"/>
          <w:color w:val="auto"/>
        </w:rPr>
        <w:t>” shall mean (i) any full- or part-time officer or employee of any Governmental Authority, whether elected, appointed, or hired; (ii) any person acting in an official capacity or exercising a public function for or on behalf of any Governmental Authority; or (iii) political party officials, or (iv) candidates for political office.</w:t>
      </w:r>
    </w:p>
    <w:p>
      <w:pPr>
        <w:spacing w:after="0" w:line="126"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Hazardous Materials</w:t>
      </w:r>
      <w:r>
        <w:rPr>
          <w:rFonts w:ascii="Times New Roman" w:cs="Times New Roman" w:eastAsia="Times New Roman" w:hAnsi="Times New Roman"/>
          <w:sz w:val="13"/>
          <w:szCs w:val="13"/>
          <w:color w:val="auto"/>
        </w:rPr>
        <w:t>” shall mean all substances (i) defined as hazardous substances, oils, pollutants or contaminants in the National Oil and Hazardous Substances Pollution Contingency Plan, 40 C.F.R. § 300.5, or (ii) defined as hazardous substances, hazardous wastes, hazardous materials, pollutants, contaminants, toxic substances (or words of similar import) by or regulated as such under, any Environmental Law, including but not limited to any petroleum and its by-products, radioactive materials, friable asbestos or polychlorinated biphenyls, mold, urea formaldehyde insulation, silica, chlorofluorocarbons and all other ozone-depleting substances, and per- and polyfluoroalkyl substances (PFAS).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shall mean the Hart-Scott-Rodino Antitrust Improvements Act of 1976, as amended, and the rules and regulations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Liabilities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Party</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Indemnified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shall mean all intellectual property and proprietary rights, which may exist or be created under the laws of the United States or any foreign jurisdiction, whether registered or unregistered, including all: (i) rights associated with works of authorship, including exclusive exploitation rights, copyrights, design rights, and moral rights; (ii) rights in information, data, databases and data collections; (iii) trademark, trade name, service name, trade dress and service mark rights and similar rights; (iv) trade secret rights; (v) patents and industrial property rights; (vi) Internet domain names; and (vii) rights in or relating to registrations, renewals, extensions, combinations, reexaminations, continuations, continuations-in-part, divisions, and reissues of, and applications for, any of the rights referred to in clauses “(i)” through “(vi)” above.</w:t>
      </w:r>
    </w:p>
    <w:p>
      <w:pPr>
        <w:spacing w:after="0" w:line="1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Intended Tax Treatment</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Inventory</w:t>
      </w:r>
      <w:r>
        <w:rPr>
          <w:rFonts w:ascii="Times New Roman" w:cs="Times New Roman" w:eastAsia="Times New Roman" w:hAnsi="Times New Roman"/>
          <w:sz w:val="13"/>
          <w:szCs w:val="13"/>
          <w:color w:val="auto"/>
        </w:rPr>
        <w:t>” shall mean all inventory of the Company or any of its Subsidiaries, including finished goods, raw materials, supplies and consumables, work in progress, packaging film and material, boxes, labeling and other shipping materials and other inventory property, including all such inventory which may be in transit or in the possession of any third party.</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shall mean the Internal Revenue Service.</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4.14(i)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Joint Proxy Statement/Prospectus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4.4(b)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3"/>
          <w:szCs w:val="13"/>
          <w:color w:val="auto"/>
        </w:rPr>
        <w:t>A-8</w:t>
      </w:r>
    </w:p>
    <w:p>
      <w:pPr>
        <w:sectPr>
          <w:pgSz w:w="11900" w:h="16838" w:orient="portrait"/>
          <w:cols w:equalWidth="0" w:num="1">
            <w:col w:w="9019"/>
          </w:cols>
          <w:pgMar w:left="1440" w:top="229" w:right="1440" w:bottom="1440" w:gutter="0" w:footer="0" w:header="0"/>
        </w:sectPr>
      </w:pPr>
    </w:p>
    <w:bookmarkStart w:id="112" w:name="page113"/>
    <w:bookmarkEnd w:id="112"/>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Knowledge</w:t>
      </w:r>
      <w:r>
        <w:rPr>
          <w:rFonts w:ascii="Times New Roman" w:cs="Times New Roman" w:eastAsia="Times New Roman" w:hAnsi="Times New Roman"/>
          <w:sz w:val="13"/>
          <w:szCs w:val="13"/>
          <w:color w:val="auto"/>
        </w:rPr>
        <w:t xml:space="preserve">” shall mean the actual knowledge of the following officers and employees of the Company or Parent, as applicable, after reasonable inquiry with respect to any matter in question: (i) for the Company,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Company Disclosure Letter; and (ii) for Parent, as set forth in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the Parent Disclosure Letter.</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Consultations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Labor Organization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shall mean any international, national, provincial, state, municipal, local and common laws, treaties, statutes, ordinances, decrees, codes, rules, regulations or other requirements, legally binding guidance, Orders, consent decrees, permits, policies, restrictions or licenses enacted, promulgated, enforced or imposed by any Governmental Authority, in each case, having the force of law.</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Leased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Lien</w:t>
      </w:r>
      <w:r>
        <w:rPr>
          <w:rFonts w:ascii="Times New Roman" w:cs="Times New Roman" w:eastAsia="Times New Roman" w:hAnsi="Times New Roman"/>
          <w:sz w:val="13"/>
          <w:szCs w:val="13"/>
          <w:color w:val="auto"/>
        </w:rPr>
        <w:t>” shall mean liens, claims, mortgages, encumbrances, pledges, security interests or charges of any kind.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Listing Rule</w:t>
      </w:r>
      <w:r>
        <w:rPr>
          <w:rFonts w:ascii="Times New Roman" w:cs="Times New Roman" w:eastAsia="Times New Roman" w:hAnsi="Times New Roman"/>
          <w:sz w:val="13"/>
          <w:szCs w:val="13"/>
          <w:color w:val="auto"/>
        </w:rPr>
        <w:t>” shall having the meaning set forth in the Recitals.</w:t>
      </w:r>
    </w:p>
    <w:p>
      <w:pPr>
        <w:spacing w:after="0" w:line="154" w:lineRule="exact"/>
        <w:rPr>
          <w:sz w:val="20"/>
          <w:szCs w:val="20"/>
          <w:color w:val="auto"/>
        </w:rPr>
      </w:pPr>
    </w:p>
    <w:p>
      <w:pPr>
        <w:ind w:left="640" w:right="71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Malicious Code</w:t>
      </w:r>
      <w:r>
        <w:rPr>
          <w:rFonts w:ascii="Times New Roman" w:cs="Times New Roman" w:eastAsia="Times New Roman" w:hAnsi="Times New Roman"/>
          <w:sz w:val="13"/>
          <w:szCs w:val="13"/>
          <w:color w:val="auto"/>
        </w:rPr>
        <w:t>” shall mean software that contains any “back door,” “drop dead device,” “time bomb,” “Trojan horse,” “virus,” “worm,” “spyware” or “adware” (as such terms are commonly understood in the software industry) or any other code designed or intended to have, or capable of performing or facilitating, any of the following functions: (i) disrupting, disabling, harming, or otherwise impeding in any manner the operation of, or providing unauthorized access to, a computer system or network or other device on which such code is stored or installed; or (ii) compromising the privacy or data security of a user or damaging or destroying any data or file without the user’s consent.</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Customer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Supplier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4.17(a)(v)</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Mergers</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w:t>
      </w:r>
      <w:r>
        <w:rPr>
          <w:rFonts w:ascii="Times New Roman" w:cs="Times New Roman" w:eastAsia="Times New Roman" w:hAnsi="Times New Roman"/>
          <w:sz w:val="13"/>
          <w:szCs w:val="13"/>
          <w:color w:val="auto"/>
        </w:rPr>
        <w:t>” shall mean Cantaloupe Merger Sub I,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Merger Sub II</w:t>
      </w:r>
      <w:r>
        <w:rPr>
          <w:rFonts w:ascii="Times New Roman" w:cs="Times New Roman" w:eastAsia="Times New Roman" w:hAnsi="Times New Roman"/>
          <w:sz w:val="13"/>
          <w:szCs w:val="13"/>
          <w:color w:val="auto"/>
        </w:rPr>
        <w:t>” shall mean Cantaloupe Merger Sub II, LLC, a Delaware limited liability company.</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Mexican Subsidiary</w:t>
      </w:r>
      <w:r>
        <w:rPr>
          <w:rFonts w:ascii="Times New Roman" w:cs="Times New Roman" w:eastAsia="Times New Roman" w:hAnsi="Times New Roman"/>
          <w:sz w:val="13"/>
          <w:szCs w:val="13"/>
          <w:color w:val="auto"/>
        </w:rPr>
        <w:t>” shall mean any Subsidiary incorporated under the laws of Mexico, including Avocados de Jalisco S.A.P.I. de C.V., Calavo de Mexico, S.A. de C.V., Calavo Growers de México, S. de R.L. de C.V., and Parcelas Esmeraldas de México, S.A. de C.V.</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A-9</w:t>
      </w:r>
    </w:p>
    <w:p>
      <w:pPr>
        <w:sectPr>
          <w:pgSz w:w="11900" w:h="16838" w:orient="portrait"/>
          <w:cols w:equalWidth="0" w:num="1">
            <w:col w:w="9019"/>
          </w:cols>
          <w:pgMar w:left="1440" w:top="229" w:right="1440" w:bottom="1440" w:gutter="0" w:footer="0" w:header="0"/>
        </w:sectPr>
      </w:pPr>
    </w:p>
    <w:bookmarkStart w:id="113" w:name="page114"/>
    <w:bookmarkEnd w:id="113"/>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Money Laundering Laws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4.26(b)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New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Adverse Recommendation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 of 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Old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Open Source Software</w:t>
      </w:r>
      <w:r>
        <w:rPr>
          <w:rFonts w:ascii="Times New Roman" w:cs="Times New Roman" w:eastAsia="Times New Roman" w:hAnsi="Times New Roman"/>
          <w:sz w:val="13"/>
          <w:szCs w:val="13"/>
          <w:color w:val="auto"/>
        </w:rPr>
        <w:t>” shall mean any software that is distributed or licensed as open source software, public source software, or freeware, or pursuant to any license identified as an “open source license” by the Open Source Initiative (http://www.opensource.org/licenses), or other license that substantially conforms to the Open Source Definition (http://www.opensource.org/osd).</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“Option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shall mean any writ, injunction, judgment, award, decree, ruling, determination, stipulation, subpoena, or verdict entered, issued, made or rendered in any Action, by any arbitrator or by any Governmental Authority.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Owned 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shall mean Mission Produce, Inc., a Delaware corporation.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Adverse Recommendation Change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shall mean the board of directors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Capitalization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Parent’s Counsel</w:t>
      </w:r>
      <w:r>
        <w:rPr>
          <w:rFonts w:ascii="Times New Roman" w:cs="Times New Roman" w:eastAsia="Times New Roman" w:hAnsi="Times New Roman"/>
          <w:sz w:val="13"/>
          <w:szCs w:val="13"/>
          <w:color w:val="auto"/>
        </w:rPr>
        <w:t>” shall mean Latham &amp; Watkins LLP (or other nationally recognized Tax counsel as may be reasonably acceptable to Parent and the Company).</w:t>
      </w:r>
    </w:p>
    <w:p>
      <w:pPr>
        <w:spacing w:after="0" w:line="119" w:lineRule="exact"/>
        <w:rPr>
          <w:sz w:val="20"/>
          <w:szCs w:val="20"/>
          <w:color w:val="auto"/>
        </w:rPr>
      </w:pPr>
    </w:p>
    <w:p>
      <w:pPr>
        <w:ind w:left="640" w:right="10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Disclosure Letter</w:t>
      </w:r>
      <w:r>
        <w:rPr>
          <w:rFonts w:ascii="Times New Roman" w:cs="Times New Roman" w:eastAsia="Times New Roman" w:hAnsi="Times New Roman"/>
          <w:sz w:val="13"/>
          <w:szCs w:val="13"/>
          <w:color w:val="auto"/>
        </w:rPr>
        <w:t>” shall mean the disclosure letter delivered by Parent to the Company simultaneously with the execution of this Agreement.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Equity Plans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Intervening Event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6.7(d)</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A-10</w:t>
      </w:r>
    </w:p>
    <w:p>
      <w:pPr>
        <w:sectPr>
          <w:pgSz w:w="11900" w:h="16838" w:orient="portrait"/>
          <w:cols w:equalWidth="0" w:num="1">
            <w:col w:w="9019"/>
          </w:cols>
          <w:pgMar w:left="1440" w:top="229" w:right="1440" w:bottom="1440" w:gutter="0" w:footer="0" w:header="0"/>
        </w:sectPr>
      </w:pPr>
    </w:p>
    <w:bookmarkStart w:id="114" w:name="page115"/>
    <w:bookmarkEnd w:id="114"/>
    <w:p>
      <w:pPr>
        <w:ind w:left="640" w:right="679" w:firstLine="30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Parent Material Adverse Effect</w:t>
      </w:r>
      <w:r>
        <w:rPr>
          <w:rFonts w:ascii="Times New Roman" w:cs="Times New Roman" w:eastAsia="Times New Roman" w:hAnsi="Times New Roman"/>
          <w:sz w:val="12"/>
          <w:szCs w:val="12"/>
          <w:color w:val="auto"/>
        </w:rPr>
        <w:t xml:space="preserve">” shall mean any change, event, effect, fact, condition, development, occurrence or circumstance which, individually or in the aggregate, has resulted in or would reasonably be expected to prevent, materially impede or materially delay Parent from consummating the Mergers or any of the other transactions contemplated by this Agreement or Parent from performing its obligations under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Parent Material Adverse Effect shall not be deemed to include change, event, effect, fact, condition, development or occurrence or circumstance arising out of, relating to, or resulting from: (i) any change, event, effect, fact, condition, development or occurrence or circumstance generally affecting any of the industries or markets in which Parent or its Subsidiaries operate; (ii) any change in any Law or GAAP (or changes in interpretations of any Law or GAAP) and, to the extent relevant to the business of Parent and its Subsidiaries, in any legal or regulatory requirement or condition or the regulatory enforcement environment; (iii) general economic, regulatory or political conditions (or changes therein) or conditions (or changes therein) in the financial, credit, banking or securities markets (including changes in interest or currency exchange rates) in any country or region in which Parent or its Subsidiaries conduct business; (iv) any acts of God, natural disasters, force majeure events, terrorism, sabotage, armed hostilities, declared or undeclared acts of war, epidemics, pandemics or disease outbreaks, or any escalation or worsening of any of the foregoing;</w:t>
      </w:r>
    </w:p>
    <w:p>
      <w:pPr>
        <w:spacing w:after="0" w:line="1" w:lineRule="exact"/>
        <w:rPr>
          <w:sz w:val="20"/>
          <w:szCs w:val="20"/>
          <w:color w:val="auto"/>
        </w:rPr>
      </w:pPr>
    </w:p>
    <w:p>
      <w:pPr>
        <w:ind w:left="640" w:right="659" w:hanging="3"/>
        <w:spacing w:after="0" w:line="266" w:lineRule="auto"/>
        <w:tabs>
          <w:tab w:leader="none" w:pos="819"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execution, public announcement, consummation or existence of this Agreement or the transactions contemplated hereby, including by reason of the identity of the Company; (vi) any action taken as required of Parent by the terms of this Agreement (other than its obligations to operate its business in the ordinary course); or (vii) any changes in the market price or trading volume of Parent Shares, any failure by Parent or its Subsidiaries to meet internal, analysts’ or other earnings estimates or financial projections or forecasts for any period, any changes in credit ratings and any changes in any analysts’ recommendations or ratings with respect to Parent or any of its Subsidiaries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the facts or occurrences giving rise to or contributing to such changes or failure that are not otherwise excluded from the definition of “Parent Material Adverse Effect” may be taken into account in determining whether there has been a Parent Material Adverse Effect); except, with respect to clauses (i), (ii), (iii) and (iv), that if any such changes, events, effects, facts, conditions or circumstances, developments or occurrences have a disproportionate effect on Parent and its Subsidiaries relative to other participants in the industries in which Parent and its Subsidiaries operate, such changes, events, effects, facts, conditions, developments, occurrences or circumstances shall be taken into account, to the extent (and only to the extent) of such disproportionate impact, in determining whether there has been, or there is reasonably likely to occur, a Parent Material Adverse Effect.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Notice Period</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6.7(b)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Organizational Documents</w:t>
      </w:r>
      <w:r>
        <w:rPr>
          <w:rFonts w:ascii="Times New Roman" w:cs="Times New Roman" w:eastAsia="Times New Roman" w:hAnsi="Times New Roman"/>
          <w:sz w:val="13"/>
          <w:szCs w:val="13"/>
          <w:color w:val="auto"/>
        </w:rPr>
        <w:t>” shall mean the certificate of incorporation, bylaws (or equivalent organizational or governing documents), and other organizational or governing documents, agreements or arrangements, each as amended to date, of each of Parent, Merger Sub I and Merger Sub II.</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5.11(a)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Recommendation</w:t>
      </w:r>
      <w:r>
        <w:rPr>
          <w:rFonts w:ascii="Times New Roman" w:cs="Times New Roman" w:eastAsia="Times New Roman" w:hAnsi="Times New Roman"/>
          <w:sz w:val="13"/>
          <w:szCs w:val="13"/>
          <w:color w:val="auto"/>
        </w:rPr>
        <w:t>” shall mean the recommendation of the Parent Board that the stockholders of Parent vote in favor of the approval of the Parent Share Issuance.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A-11</w:t>
      </w:r>
    </w:p>
    <w:p>
      <w:pPr>
        <w:sectPr>
          <w:pgSz w:w="11900" w:h="16838" w:orient="portrait"/>
          <w:cols w:equalWidth="0" w:num="1">
            <w:col w:w="9019"/>
          </w:cols>
          <w:pgMar w:left="1440" w:top="229" w:right="1440" w:bottom="1440" w:gutter="0" w:footer="0" w:header="0"/>
        </w:sectPr>
      </w:pPr>
    </w:p>
    <w:bookmarkStart w:id="115" w:name="page116"/>
    <w:bookmarkEnd w:id="115"/>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Related Parties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8.3(c)</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SEC Documents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5.7(a)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 Issuance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Shares</w:t>
      </w:r>
      <w:r>
        <w:rPr>
          <w:rFonts w:ascii="Times New Roman" w:cs="Times New Roman" w:eastAsia="Times New Roman" w:hAnsi="Times New Roman"/>
          <w:sz w:val="13"/>
          <w:szCs w:val="13"/>
          <w:color w:val="auto"/>
        </w:rPr>
        <w:t>” means the shares of common stock, par value $0.001 per share,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Stockholders’ Meeting</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Tax Representation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6.19(e)</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Payoff Letter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Lien</w:t>
      </w:r>
      <w:r>
        <w:rPr>
          <w:rFonts w:ascii="Times New Roman" w:cs="Times New Roman" w:eastAsia="Times New Roman" w:hAnsi="Times New Roman"/>
          <w:sz w:val="12"/>
          <w:szCs w:val="12"/>
          <w:color w:val="auto"/>
        </w:rPr>
        <w:t>” shall mean (a) any statutory Lien for Taxes, utilities, landlords and other governmental charges not yet due and payable or that are being contested in good faith by any appropriate proceedings and for which adequate accruals or reserves have been established in accordance with GAAP, (b) Liens securing indebtedness or liabilities that are reflected in the Company SEC Documents (with respect to the Company) or Parent SEC Documents (with respect to Parent, Merger Sub I and Merger Sub II) or incurred in the ordinary course of business consistent with past practice since the end of the most recent fiscal year for which an Annual Report on Form 10-K has been filed by the Company or Parent, as applicable, with the SEC and Liens securing indebtedness or liabilities that have otherwise been disclosed to Parent or the Company, as applicable, in writing, (c) with respect to real property, any matters of record, (d) Liens imposed or promulgated by Laws with respect to real property and improvements, including zoning regulations, permits, licenses, utility easements, rights of way and similar Liens imposed or promulgated by any Governmental Authority which are not violated by the use of such real property, (e) mechanics’, carriers’, workmen’s, repairmen’s, materialmen’s, warehousemen’s, suppliers’, cashiers’ and similar Liens securing obligations that are not yet due and payable or the validity of which are being contested in good faith by appropriate proceedings and incurred in the ordinary course of business and for which adequate reserves are maintained in accordance with GAAP, (f) non-exclusive licenses of Intellectual Property Rights, (g) covenants, conditions, restrictions, rights of way, servitudes, encroachments, permits and oil, gas, mineral and any mining reservations, rights, licenses and leases that do not, individually or in the aggregate, materially impair the value, occupancy or use of such real property, (h) deposits made in the ordinary course of business consistent with past practice to secure payments of worker’s compensation, unemployment insurance or other types of social security benefits or the performance of bids, tenders, sales, Contracts, public or statutory obligations, and surety, stay, appeal, customs or performance bonds, in each case, arising in the ordinary course of business consistent with past practice, (i) Liens resulting from securities Laws, (j) Liens incurred in the ordinary course of business consistent with past practice in connection with any purchase money security interests, mortgage debt, equipment leases or similar financing arrangements and (k) Liens created by (or at the request of) Parent, Merger Sub I, Merger Sub II or any of their respective Affiliates (with respect to the Company) or the Company and its Affiliates (with respect to Parent, Merger Sub I and Merger Sub II).</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 Share Cash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A-12</w:t>
      </w:r>
    </w:p>
    <w:p>
      <w:pPr>
        <w:sectPr>
          <w:pgSz w:w="11900" w:h="16838" w:orient="portrait"/>
          <w:cols w:equalWidth="0" w:num="1">
            <w:col w:w="9019"/>
          </w:cols>
          <w:pgMar w:left="1440" w:top="229" w:right="1440" w:bottom="1440" w:gutter="0" w:footer="0" w:header="0"/>
        </w:sectPr>
      </w:pPr>
    </w:p>
    <w:bookmarkStart w:id="116" w:name="page117"/>
    <w:bookmarkEnd w:id="11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 Share Stock Consideration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3.1(b)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shall mean an individual, a corporation, a limited liability company, a partnership, an association, a trust, an unincorporated organization or any other entity or group, including a Governmental Authority.</w:t>
      </w:r>
    </w:p>
    <w:p>
      <w:pPr>
        <w:spacing w:after="0" w:line="119"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shall mean any data or information, in any form, (a) directly or indirectly, concerning, related to or capable of being used to identify, contact or locate a natural Person, including name, street address, telephone number, email address, photograph, social security number, driver’s license number, passport number, customer or account number, IP address, browsing history, search history or other website, application or online activity or usage data and/or (b) that is “personal information,” “personal data,” “protected health information,” “nonpublic personal information,” “personally identifiable information” or any similar term under any Company Privacy Commitment.</w:t>
      </w:r>
    </w:p>
    <w:p>
      <w:pPr>
        <w:spacing w:after="0" w:line="131" w:lineRule="exact"/>
        <w:rPr>
          <w:sz w:val="20"/>
          <w:szCs w:val="20"/>
          <w:color w:val="auto"/>
        </w:rPr>
      </w:pPr>
    </w:p>
    <w:p>
      <w:pPr>
        <w:ind w:left="640" w:right="67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xml:space="preserve">” shall mean all Laws, guidelines, directives, guidance, codes of conduct (in each case as amended, consolidated, re-enacted, or replaced from time to time) and Company Privacy Policies governing the receipt, collection, compilation, use, storage, sharing, security, integrity, disclosure or transfer (including across borders) or other processing of Personal Information; data breach and breach notification; consumer protection; profiling and tracking; direct marketing (including via text messages, phone and email); financial information; and payment card information, including the Federal Trade Commission Act (FTC Act), the Controlling the Assault of Non-Solicited Pornography And Marketing Act of 2003 (CAN-SPAM), the Telephone Consumer Protection Act (TCPA), the Fair Credit Reporting Act (FCRA), the Gramm–Leach–Bliley Act (GLBA), the Health Insurance Portability and Accountability Act of 1996, as amended by the Health Information Technology for Economic and Clinical Health Act (HIPAA), the California Consumer Privacy Act (CCPA), the Personal Information Protection and Electronic Documents Act (PIPEDA), the </w:t>
      </w:r>
      <w:r>
        <w:rPr>
          <w:rFonts w:ascii="Times New Roman" w:cs="Times New Roman" w:eastAsia="Times New Roman" w:hAnsi="Times New Roman"/>
          <w:sz w:val="12"/>
          <w:szCs w:val="12"/>
          <w:i w:val="1"/>
          <w:iCs w:val="1"/>
          <w:color w:val="auto"/>
        </w:rPr>
        <w:t>Ley Federal 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Protección de Datos Personales en Posesión de los Particulares </w:t>
      </w:r>
      <w:r>
        <w:rPr>
          <w:rFonts w:ascii="Times New Roman" w:cs="Times New Roman" w:eastAsia="Times New Roman" w:hAnsi="Times New Roman"/>
          <w:sz w:val="12"/>
          <w:szCs w:val="12"/>
          <w:color w:val="auto"/>
        </w:rPr>
        <w:t>(LFPDPPP), the European Union General Data Protection Regulation 2016/679 and/or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any implementing or supplementing local law of a European Union member state (GDPR), Directive 2002/58/EC of the European Parliament and of the Council of 12 July 2002, Regulation 2017/003 of the European Parliament and of the Council, the Payment Card Industry Security Standards.</w:t>
      </w:r>
    </w:p>
    <w:p>
      <w:pPr>
        <w:spacing w:after="0" w:line="1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Real Property Lease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4.18(b)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jc w:val="both"/>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Registered IP</w:t>
      </w:r>
      <w:r>
        <w:rPr>
          <w:rFonts w:ascii="Times New Roman" w:cs="Times New Roman" w:eastAsia="Times New Roman" w:hAnsi="Times New Roman"/>
          <w:sz w:val="13"/>
          <w:szCs w:val="13"/>
          <w:color w:val="auto"/>
        </w:rPr>
        <w:t>” shall mean all Intellectual Property that is registered, filed, or issued under the authority of any Governmental Authority or domain name registrar, including all patents, registered copyrights, registered mask works, registered trademarks, registered domain names, and all applications for any of the foregoing.</w:t>
      </w:r>
    </w:p>
    <w:p>
      <w:pPr>
        <w:spacing w:after="0" w:line="126"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Release</w:t>
      </w:r>
      <w:r>
        <w:rPr>
          <w:rFonts w:ascii="Times New Roman" w:cs="Times New Roman" w:eastAsia="Times New Roman" w:hAnsi="Times New Roman"/>
          <w:sz w:val="13"/>
          <w:szCs w:val="13"/>
          <w:color w:val="auto"/>
        </w:rPr>
        <w:t>” shall mean any actual or threatened release, spill, emission, discharge, leaking, pumping, pouring, emptying, dumping, injection, deposit, disposal, dispersal, leaching, escaping or migration of Hazardous Materials, including the movement of Hazardous Materials through or in the air, soil, surface water, groundwater or real property.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A-13</w:t>
      </w:r>
    </w:p>
    <w:p>
      <w:pPr>
        <w:sectPr>
          <w:pgSz w:w="11900" w:h="16838" w:orient="portrait"/>
          <w:cols w:equalWidth="0" w:num="1">
            <w:col w:w="9019"/>
          </w:cols>
          <w:pgMar w:left="1440" w:top="229" w:right="1440" w:bottom="1440" w:gutter="0" w:footer="0" w:header="0"/>
        </w:sectPr>
      </w:pPr>
    </w:p>
    <w:bookmarkStart w:id="117" w:name="page118"/>
    <w:bookmarkEnd w:id="117"/>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shall mean, as to any Person, such Person’s directors, officers, employees, agents, advisors, consultants, representatives and controlling Persons and any representatives of the foregoing.</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Company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4.20</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Requisite Parent Stockholder Approval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Reverse Termination Fee</w:t>
      </w:r>
      <w:r>
        <w:rPr>
          <w:rFonts w:ascii="Times New Roman" w:cs="Times New Roman" w:eastAsia="Times New Roman" w:hAnsi="Times New Roman"/>
          <w:sz w:val="13"/>
          <w:szCs w:val="13"/>
          <w:color w:val="auto"/>
        </w:rPr>
        <w:t>” shall mean an amount equal to (i) if the Agreement is terminated pursuant to Section 8.3(b)(i), $15,020,000 or (ii) if the Agreement is terminated pursuant to Section 8.3(b)(ii), $12,870,000.</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 xml:space="preserve">“RSU Consideration” </w:t>
      </w:r>
      <w:r>
        <w:rPr>
          <w:rFonts w:ascii="Times New Roman" w:cs="Times New Roman" w:eastAsia="Times New Roman" w:hAnsi="Times New Roman"/>
          <w:sz w:val="13"/>
          <w:szCs w:val="13"/>
          <w:color w:val="auto"/>
        </w:rPr>
        <w:t>shall have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Country</w:t>
      </w:r>
      <w:r>
        <w:rPr>
          <w:rFonts w:ascii="Times New Roman" w:cs="Times New Roman" w:eastAsia="Times New Roman" w:hAnsi="Times New Roman"/>
          <w:sz w:val="13"/>
          <w:szCs w:val="13"/>
          <w:color w:val="auto"/>
        </w:rPr>
        <w:t>” means, at any time, a country or territory that is itself the target of comprehensive Sanctions (as of the date of this Agreement, Cuba, Iran, North Korea, the Crimea region of Ukraine, the so-called Donetsk People’s Republic, the so-called Luhansk People’s Republic and, until July 1, 2025, Syria).</w:t>
      </w:r>
    </w:p>
    <w:p>
      <w:pPr>
        <w:spacing w:after="0" w:line="126" w:lineRule="exact"/>
        <w:rPr>
          <w:sz w:val="20"/>
          <w:szCs w:val="20"/>
          <w:color w:val="auto"/>
        </w:rPr>
      </w:pPr>
    </w:p>
    <w:p>
      <w:pPr>
        <w:ind w:left="640" w:right="7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Sanctioned Person</w:t>
      </w:r>
      <w:r>
        <w:rPr>
          <w:rFonts w:ascii="Times New Roman" w:cs="Times New Roman" w:eastAsia="Times New Roman" w:hAnsi="Times New Roman"/>
          <w:sz w:val="13"/>
          <w:szCs w:val="13"/>
          <w:color w:val="auto"/>
        </w:rPr>
        <w:t>” means (a) any Person listed in any Sanctions-related list of designated Persons maintained by the Office of Foreign Assets Control of the U.S. Department of the Treasury (“OFAC”)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50% or more owned or controlled by any such Person or Persons or acting for or on behalf of such Person or Persons.</w:t>
      </w:r>
    </w:p>
    <w:p>
      <w:pPr>
        <w:spacing w:after="0" w:line="131"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Sanctions</w:t>
      </w:r>
      <w:r>
        <w:rPr>
          <w:rFonts w:ascii="Times New Roman" w:cs="Times New Roman" w:eastAsia="Times New Roman" w:hAnsi="Times New Roman"/>
          <w:sz w:val="13"/>
          <w:szCs w:val="13"/>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 as amended, and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shall mean the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Certificate of Merger</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Effective Time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shall have the meaning set forth in the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Secretary</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2.3(a)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shall mean the Securities Act of 1933, as amended.</w:t>
      </w:r>
    </w:p>
    <w:p>
      <w:pPr>
        <w:spacing w:after="0" w:line="1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color w:val="auto"/>
        </w:rPr>
        <w:t>A-14</w:t>
      </w:r>
    </w:p>
    <w:p>
      <w:pPr>
        <w:sectPr>
          <w:pgSz w:w="11900" w:h="16838" w:orient="portrait"/>
          <w:cols w:equalWidth="0" w:num="1">
            <w:col w:w="9019"/>
          </w:cols>
          <w:pgMar w:left="1440" w:top="229" w:right="1440" w:bottom="1440" w:gutter="0" w:footer="0" w:header="0"/>
        </w:sectPr>
      </w:pPr>
    </w:p>
    <w:bookmarkStart w:id="118" w:name="page119"/>
    <w:bookmarkEnd w:id="11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Security Incident</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4.15(g)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Stockholders’ Meetings</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6.3(e)</w:t>
      </w:r>
    </w:p>
    <w:p>
      <w:pPr>
        <w:spacing w:after="0" w:line="154"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Subsidiary</w:t>
      </w:r>
      <w:r>
        <w:rPr>
          <w:rFonts w:ascii="Times New Roman" w:cs="Times New Roman" w:eastAsia="Times New Roman" w:hAnsi="Times New Roman"/>
          <w:sz w:val="13"/>
          <w:szCs w:val="13"/>
          <w:color w:val="auto"/>
        </w:rPr>
        <w:t>” of Parent, the Company or any other Person shall mean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Superior Proposal</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6.6(g)(iii).</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Company</w:t>
      </w:r>
      <w:r>
        <w:rPr>
          <w:rFonts w:ascii="Times New Roman" w:cs="Times New Roman" w:eastAsia="Times New Roman" w:hAnsi="Times New Roman"/>
          <w:sz w:val="13"/>
          <w:szCs w:val="13"/>
          <w:color w:val="auto"/>
        </w:rPr>
        <w:t>” shall have the meaning set forth in the third Recitals.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Surviving Corporation</w:t>
      </w:r>
      <w:r>
        <w:rPr>
          <w:rFonts w:ascii="Times New Roman" w:cs="Times New Roman" w:eastAsia="Times New Roman" w:hAnsi="Times New Roman"/>
          <w:sz w:val="13"/>
          <w:szCs w:val="13"/>
          <w:color w:val="auto"/>
        </w:rPr>
        <w:t>” shall have the meaning set forth in the second Recitals.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shall mean any and all federal, state, local or foreign taxes, fees, levies, duties, tariffs, imposts, and other similar taxes imposed by any Governmental Authority, including income, franchises, windfall or other profits, gross receipts, real or personal property, sales, use, capital stock, payroll, employment, social security, workers’ compensation, unemployment compensation, net worth, excise, withholding, ad valorem, stamp, transfer, value added, gains, customs duties, tariffs, branch profits, license, excise, severance, occupation, premium, escheat, environmental, disability, registration, alternative or add-on minimum or estimated tax or other tax of any kind whatsoever, including any interest, penalty or addition thereto, whether disputed or not.</w:t>
      </w:r>
    </w:p>
    <w:p>
      <w:pPr>
        <w:spacing w:after="0" w:line="135"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Authority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Taxing Authority</w:t>
      </w:r>
      <w:r>
        <w:rPr>
          <w:rFonts w:ascii="Times New Roman" w:cs="Times New Roman" w:eastAsia="Times New Roman" w:hAnsi="Times New Roman"/>
          <w:sz w:val="13"/>
          <w:szCs w:val="13"/>
          <w:color w:val="auto"/>
        </w:rPr>
        <w:t>” shall mean any Governmental Authority, having or purporting to exercise jurisdiction with respect to any Tax.</w:t>
      </w:r>
    </w:p>
    <w:p>
      <w:pPr>
        <w:spacing w:after="0" w:line="119" w:lineRule="exact"/>
        <w:rPr>
          <w:sz w:val="20"/>
          <w:szCs w:val="20"/>
          <w:color w:val="auto"/>
        </w:rPr>
      </w:pPr>
    </w:p>
    <w:p>
      <w:pPr>
        <w:ind w:left="640" w:right="7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shall mean returns, reports, declarations and information returns or statements of any kind, including any schedule or attachment thereto and any amendment thereof, with respect to Taxes filed or required to be filed with any Tax Authority, including any claim for refund.</w:t>
      </w:r>
    </w:p>
    <w:p>
      <w:pPr>
        <w:spacing w:after="0" w:line="9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Date</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8.1(b)(i)</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Termination Fee</w:t>
      </w:r>
      <w:r>
        <w:rPr>
          <w:rFonts w:ascii="Times New Roman" w:cs="Times New Roman" w:eastAsia="Times New Roman" w:hAnsi="Times New Roman"/>
          <w:sz w:val="13"/>
          <w:szCs w:val="13"/>
          <w:color w:val="auto"/>
        </w:rPr>
        <w:t>” shall mean an amount equal to $12,870,000.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Third Party</w:t>
      </w:r>
      <w:r>
        <w:rPr>
          <w:rFonts w:ascii="Times New Roman" w:cs="Times New Roman" w:eastAsia="Times New Roman" w:hAnsi="Times New Roman"/>
          <w:sz w:val="13"/>
          <w:szCs w:val="13"/>
          <w:color w:val="auto"/>
        </w:rPr>
        <w:t>” shall mean any Person or group other than Parent, Merger Sub I, Merger Sub II and their respective Affiliates.</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Threshold Percentage</w:t>
      </w:r>
      <w:r>
        <w:rPr>
          <w:rFonts w:ascii="Times New Roman" w:cs="Times New Roman" w:eastAsia="Times New Roman" w:hAnsi="Times New Roman"/>
          <w:sz w:val="13"/>
          <w:szCs w:val="13"/>
          <w:color w:val="auto"/>
        </w:rPr>
        <w:t xml:space="preserve">” means the quotient, expressed as a percentage, obtained by </w:t>
      </w:r>
      <w:r>
        <w:rPr>
          <w:rFonts w:ascii="Times New Roman" w:cs="Times New Roman" w:eastAsia="Times New Roman" w:hAnsi="Times New Roman"/>
          <w:sz w:val="13"/>
          <w:szCs w:val="13"/>
          <w:i w:val="1"/>
          <w:iCs w:val="1"/>
          <w:color w:val="auto"/>
        </w:rPr>
        <w:t>dividing</w:t>
      </w:r>
      <w:r>
        <w:rPr>
          <w:rFonts w:ascii="Times New Roman" w:cs="Times New Roman" w:eastAsia="Times New Roman" w:hAnsi="Times New Roman"/>
          <w:sz w:val="13"/>
          <w:szCs w:val="13"/>
          <w:color w:val="auto"/>
        </w:rPr>
        <w:t xml:space="preserve"> (i) the Aggregate Stock Consideration </w:t>
      </w:r>
      <w:r>
        <w:rPr>
          <w:rFonts w:ascii="Times New Roman" w:cs="Times New Roman" w:eastAsia="Times New Roman" w:hAnsi="Times New Roman"/>
          <w:sz w:val="13"/>
          <w:szCs w:val="13"/>
          <w:i w:val="1"/>
          <w:iCs w:val="1"/>
          <w:color w:val="auto"/>
        </w:rPr>
        <w:t>by</w:t>
      </w:r>
      <w:r>
        <w:rPr>
          <w:rFonts w:ascii="Times New Roman" w:cs="Times New Roman" w:eastAsia="Times New Roman" w:hAnsi="Times New Roman"/>
          <w:sz w:val="13"/>
          <w:szCs w:val="13"/>
          <w:color w:val="auto"/>
        </w:rPr>
        <w:t xml:space="preserve"> (ii) the sum of the Aggregate Stock Consideration </w:t>
      </w:r>
      <w:r>
        <w:rPr>
          <w:rFonts w:ascii="Times New Roman" w:cs="Times New Roman" w:eastAsia="Times New Roman" w:hAnsi="Times New Roman"/>
          <w:sz w:val="13"/>
          <w:szCs w:val="13"/>
          <w:i w:val="1"/>
          <w:iCs w:val="1"/>
          <w:color w:val="auto"/>
        </w:rPr>
        <w:t>plus</w:t>
      </w:r>
      <w:r>
        <w:rPr>
          <w:rFonts w:ascii="Times New Roman" w:cs="Times New Roman" w:eastAsia="Times New Roman" w:hAnsi="Times New Roman"/>
          <w:sz w:val="13"/>
          <w:szCs w:val="13"/>
          <w:color w:val="auto"/>
        </w:rPr>
        <w:t xml:space="preserve"> the Aggregate Cash Amount.</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A-15</w:t>
      </w:r>
    </w:p>
    <w:p>
      <w:pPr>
        <w:sectPr>
          <w:pgSz w:w="11900" w:h="16838" w:orient="portrait"/>
          <w:cols w:equalWidth="0" w:num="1">
            <w:col w:w="9019"/>
          </w:cols>
          <w:pgMar w:left="1440" w:top="229" w:right="1440" w:bottom="1440" w:gutter="0" w:footer="0" w:header="0"/>
        </w:sectPr>
      </w:pPr>
    </w:p>
    <w:bookmarkStart w:id="119" w:name="page120"/>
    <w:bookmarkEnd w:id="119"/>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Trade Controls</w:t>
      </w:r>
      <w:r>
        <w:rPr>
          <w:rFonts w:ascii="Times New Roman" w:cs="Times New Roman" w:eastAsia="Times New Roman" w:hAnsi="Times New Roman"/>
          <w:sz w:val="12"/>
          <w:szCs w:val="12"/>
          <w:color w:val="auto"/>
        </w:rPr>
        <w:t xml:space="preserve">” means (a)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including the </w:t>
      </w:r>
      <w:r>
        <w:rPr>
          <w:rFonts w:ascii="Times New Roman" w:cs="Times New Roman" w:eastAsia="Times New Roman" w:hAnsi="Times New Roman"/>
          <w:sz w:val="12"/>
          <w:szCs w:val="12"/>
          <w:i w:val="1"/>
          <w:iCs w:val="1"/>
          <w:color w:val="auto"/>
        </w:rPr>
        <w:t>Ley de Comercio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Exterior</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i w:val="1"/>
          <w:iCs w:val="1"/>
          <w:color w:val="auto"/>
        </w:rPr>
        <w:t xml:space="preserve"> Ley Aduanera</w:t>
      </w:r>
      <w:r>
        <w:rPr>
          <w:rFonts w:ascii="Times New Roman" w:cs="Times New Roman" w:eastAsia="Times New Roman" w:hAnsi="Times New Roman"/>
          <w:sz w:val="12"/>
          <w:szCs w:val="12"/>
          <w:color w:val="auto"/>
        </w:rPr>
        <w:t>, and the</w:t>
      </w:r>
      <w:r>
        <w:rPr>
          <w:rFonts w:ascii="Times New Roman" w:cs="Times New Roman" w:eastAsia="Times New Roman" w:hAnsi="Times New Roman"/>
          <w:sz w:val="12"/>
          <w:szCs w:val="12"/>
          <w:i w:val="1"/>
          <w:iCs w:val="1"/>
          <w:color w:val="auto"/>
        </w:rPr>
        <w:t xml:space="preserve"> Reglas Generales de Comercio Exterior</w:t>
      </w:r>
      <w:r>
        <w:rPr>
          <w:rFonts w:ascii="Times New Roman" w:cs="Times New Roman" w:eastAsia="Times New Roman" w:hAnsi="Times New Roman"/>
          <w:sz w:val="12"/>
          <w:szCs w:val="12"/>
          <w:color w:val="auto"/>
        </w:rPr>
        <w:t>, except to the extent inconsistent with U.S. law.</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Trading Day</w:t>
      </w:r>
      <w:r>
        <w:rPr>
          <w:rFonts w:ascii="Times New Roman" w:cs="Times New Roman" w:eastAsia="Times New Roman" w:hAnsi="Times New Roman"/>
          <w:sz w:val="13"/>
          <w:szCs w:val="13"/>
          <w:color w:val="auto"/>
        </w:rPr>
        <w:t>” means any day on which NASDAQ is open for trading.</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shall mean the income tax regulations promulgated under the Code.</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“US Company Benefit Plan” </w:t>
      </w:r>
      <w:r>
        <w:rPr>
          <w:rFonts w:ascii="Times New Roman" w:cs="Times New Roman" w:eastAsia="Times New Roman" w:hAnsi="Times New Roman"/>
          <w:sz w:val="13"/>
          <w:szCs w:val="13"/>
          <w:color w:val="auto"/>
        </w:rPr>
        <w:t>shall mean a Company Benefit Plan that provides compensation or benefits to any current or former director,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officer, individual consultant, employee or other individual service provider of the Company or its Subsidiaries who provides, or provided, services to the Company or such Subsidiary from a primary work location in the United States.</w:t>
      </w:r>
    </w:p>
    <w:p>
      <w:pPr>
        <w:spacing w:after="0" w:line="126"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VDR</w:t>
      </w:r>
      <w:r>
        <w:rPr>
          <w:rFonts w:ascii="Times New Roman" w:cs="Times New Roman" w:eastAsia="Times New Roman" w:hAnsi="Times New Roman"/>
          <w:sz w:val="13"/>
          <w:szCs w:val="13"/>
          <w:color w:val="auto"/>
        </w:rPr>
        <w:t>” shall mean any electronic data room for “Project Cantaloupe” and maintained by the Company for purposes of the Mergers and the other transactions contemplated by this Agreement, including the electronic data room hosted by Datasite under the title “Revelation”.</w:t>
      </w:r>
    </w:p>
    <w:p>
      <w:pPr>
        <w:spacing w:after="0" w:line="119" w:lineRule="exact"/>
        <w:rPr>
          <w:sz w:val="20"/>
          <w:szCs w:val="20"/>
          <w:color w:val="auto"/>
        </w:rPr>
      </w:pPr>
    </w:p>
    <w:p>
      <w:pPr>
        <w:jc w:val="both"/>
        <w:ind w:left="640" w:right="8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WF Credit Agreement</w:t>
      </w:r>
      <w:r>
        <w:rPr>
          <w:rFonts w:ascii="Times New Roman" w:cs="Times New Roman" w:eastAsia="Times New Roman" w:hAnsi="Times New Roman"/>
          <w:sz w:val="13"/>
          <w:szCs w:val="13"/>
          <w:color w:val="auto"/>
        </w:rPr>
        <w:t>” means the Credit Agreement, dated June 26, 2023, among the Company, Renaissance Food Group, LLC, GH Foods CA, LLC, GHSW, LLC, GHGA, LLC, GHNW, LLC, and Hawaiian Sweet, Inc., and Wells Fargo Bank, N.A., as the same may from time to time be amended, modified, supplemented or restated.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A-16</w:t>
      </w:r>
    </w:p>
    <w:p>
      <w:pPr>
        <w:sectPr>
          <w:pgSz w:w="11900" w:h="16838" w:orient="portrait"/>
          <w:cols w:equalWidth="0" w:num="1">
            <w:col w:w="9019"/>
          </w:cols>
          <w:pgMar w:left="1440" w:top="229" w:right="1440" w:bottom="1440"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99.2</w:t>
      </w:r>
    </w:p>
    <w:p>
      <w:pPr>
        <w:spacing w:after="0" w:line="305" w:lineRule="exact"/>
        <w:rPr>
          <w:sz w:val="20"/>
          <w:szCs w:val="20"/>
          <w:color w:val="auto"/>
        </w:rPr>
      </w:pPr>
    </w:p>
    <w:p>
      <w:pPr>
        <w:jc w:val="center"/>
        <w:ind w:left="640" w:right="659"/>
        <w:spacing w:after="0" w:line="214" w:lineRule="auto"/>
        <w:rPr>
          <w:sz w:val="20"/>
          <w:szCs w:val="20"/>
          <w:color w:val="auto"/>
        </w:rPr>
      </w:pPr>
      <w:r>
        <w:rPr>
          <w:rFonts w:ascii="Times New Roman" w:cs="Times New Roman" w:eastAsia="Times New Roman" w:hAnsi="Times New Roman"/>
          <w:sz w:val="13"/>
          <w:szCs w:val="13"/>
          <w:b w:val="1"/>
          <w:bCs w:val="1"/>
          <w:color w:val="auto"/>
        </w:rPr>
        <w:t>Mission Produce</w:t>
      </w:r>
      <w:r>
        <w:rPr>
          <w:rFonts w:ascii="Times New Roman" w:cs="Times New Roman" w:eastAsia="Times New Roman" w:hAnsi="Times New Roman"/>
          <w:sz w:val="18"/>
          <w:szCs w:val="18"/>
          <w:b w:val="1"/>
          <w:bCs w:val="1"/>
          <w:color w:val="auto"/>
          <w:vertAlign w:val="superscript"/>
        </w:rPr>
        <w:t>®</w:t>
      </w:r>
      <w:r>
        <w:rPr>
          <w:rFonts w:ascii="Times New Roman" w:cs="Times New Roman" w:eastAsia="Times New Roman" w:hAnsi="Times New Roman"/>
          <w:sz w:val="13"/>
          <w:szCs w:val="13"/>
          <w:b w:val="1"/>
          <w:bCs w:val="1"/>
          <w:color w:val="auto"/>
        </w:rPr>
        <w:t xml:space="preserve"> Announces Agreement to Acquire Calavo Growers, Expanding North American Avocado Business and Diversifying Portfolio Across Fresh Produce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Transaction seeks to enhance Mission’s position in the North American avocado category with expanded supply across Mexico and California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Vertically integrated platform with sourcing security and produce diversification to better serve customers and grower partners worldwide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Represents entry for Mission into the high-growth and attractive prepared food segment, complementing existing value-add avocado business</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Significant value creation opportunity for both Mission and Calavo shareholders with expected cost synergies of approximately $25 million within 18 months post-close with meaningful upside potential</w:t>
      </w:r>
    </w:p>
    <w:p>
      <w:pPr>
        <w:spacing w:after="0" w:line="119"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Oxnard, California and Santa Paula, California – January 14, 2026 – </w:t>
      </w:r>
      <w:r>
        <w:rPr>
          <w:rFonts w:ascii="Times New Roman" w:cs="Times New Roman" w:eastAsia="Times New Roman" w:hAnsi="Times New Roman"/>
          <w:sz w:val="13"/>
          <w:szCs w:val="13"/>
          <w:color w:val="auto"/>
        </w:rPr>
        <w:t>Mission Produce, Inc. (NASDAQ: AVO) (“Mission”), a global leader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sourcing, producing, and distributing fresh avocados, and Calavo Growers, Inc. (NASDAQ: CVGW) (“Calavo”), a leading provider of fresh avocados, tomatoes, papayas, and value-added prepared foods such as guacamole, today announced that they have entered into a definitive agreement under which Mission will acquire Calavo in a cash-and-stock transaction (the “Agreement”).</w:t>
      </w:r>
    </w:p>
    <w:p>
      <w:pPr>
        <w:spacing w:after="0" w:line="132"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acquisition marks an important milestone for Mission and for our industry,” said Steve Barnard, Co-Founder and Chief Executive Officer of Mission. “By bolstering Mission’s vertically integrated platform and trusted global distribution network with Calavo’s complementary sourcing, prepared foods capabilities, and deep customer relationships, we intend to build a stronger, more diversified company positioned for sustainable growth. When the transaction closes, we believe we will have enhanced scale and a more diversified business model and product portfolio, so that we can deliver even greater value to our customers, growers, employees, and shareholders.”</w:t>
      </w:r>
    </w:p>
    <w:p>
      <w:pPr>
        <w:spacing w:after="0" w:line="134" w:lineRule="exact"/>
        <w:rPr>
          <w:sz w:val="20"/>
          <w:szCs w:val="20"/>
          <w:color w:val="auto"/>
        </w:rPr>
      </w:pPr>
    </w:p>
    <w:p>
      <w:pPr>
        <w:ind w:left="640" w:right="659"/>
        <w:spacing w:after="0" w:line="275" w:lineRule="auto"/>
        <w:rPr>
          <w:sz w:val="20"/>
          <w:szCs w:val="20"/>
          <w:color w:val="auto"/>
        </w:rPr>
      </w:pPr>
      <w:r>
        <w:rPr>
          <w:rFonts w:ascii="Times New Roman" w:cs="Times New Roman" w:eastAsia="Times New Roman" w:hAnsi="Times New Roman"/>
          <w:sz w:val="12"/>
          <w:szCs w:val="12"/>
          <w:color w:val="auto"/>
        </w:rPr>
        <w:t>“We have great respect for Calavo’s heritage as a trusted name in fresh and prepared foods, and are proud to welcome their organization into the Mission network,” said John Pawlowski, President and Chief Operating Officer and Chief Executive Officer-designate of Mission. “With this acquisition, we strive to expand our premium avocado position in North America and create a leading global fresh produce platform, which we believe will be well-positioned to capture the increasing demand for fresh, healthy, and convenient foods. In line with our long-term growth strategy, we believe this transaction enhances the value we deliver to our customers, growers, and partners, while reinforcing our commitment to operational excellence.”</w:t>
      </w:r>
    </w:p>
    <w:p>
      <w:pPr>
        <w:spacing w:after="0" w:line="119" w:lineRule="exact"/>
        <w:rPr>
          <w:sz w:val="20"/>
          <w:szCs w:val="20"/>
          <w:color w:val="auto"/>
        </w:rPr>
      </w:pPr>
    </w:p>
    <w:p>
      <w:pPr>
        <w:ind w:left="640" w:right="719"/>
        <w:spacing w:after="0" w:line="251" w:lineRule="auto"/>
        <w:rPr>
          <w:sz w:val="20"/>
          <w:szCs w:val="20"/>
          <w:color w:val="auto"/>
        </w:rPr>
      </w:pPr>
      <w:r>
        <w:rPr>
          <w:rFonts w:ascii="Times New Roman" w:cs="Times New Roman" w:eastAsia="Times New Roman" w:hAnsi="Times New Roman"/>
          <w:sz w:val="13"/>
          <w:szCs w:val="13"/>
          <w:color w:val="auto"/>
        </w:rPr>
        <w:t>Founded as the original avocado company in North America over 100 years ago, Calavo has evolved into a global purveyor of quality produce. Today, Calavo’s offerings include fresh avocados sourced from California, Mexico, Peru, and Colombia; tomatoes; Hawaiian papayas; and a variety of ready-to-eat products such as guacamole and salsas. Its products are sold under the Calavo brand name, proprietary sub-brands, as well as private labels and store brands.</w:t>
      </w:r>
    </w:p>
    <w:p>
      <w:pPr>
        <w:sectPr>
          <w:pgSz w:w="11900" w:h="16838" w:orient="portrait"/>
          <w:cols w:equalWidth="0" w:num="1">
            <w:col w:w="9019"/>
          </w:cols>
          <w:pgMar w:left="1440" w:top="229" w:right="1440" w:bottom="1440" w:gutter="0" w:footer="0" w:header="0"/>
        </w:sectPr>
      </w:pPr>
    </w:p>
    <w:bookmarkStart w:id="136" w:name="page137"/>
    <w:bookmarkEnd w:id="13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Mission is a leading global supplier of avocados with fully integrated operations, including value-added services such as ripening, packaging, regional distribution, and logistics supported by state-of-the-art infrastructure. The addition of Calavo is expected to create a scaled North American avocado and fresh produce platform well positioned to expand internationally and accelerate Mission’s business model diversification by expanding its presence in the high-growth prepared foods segment following closing. Mission has previously expanded into produce categories including mangos and blueberries, and Calavo’s tomato and papaya offerings further diversify Mission’s produce portfolio. In addition, the combination of both companies’ grower networks positions Mission to enhance supply reliability and sourcing security.</w:t>
      </w:r>
    </w:p>
    <w:p>
      <w:pPr>
        <w:spacing w:after="0" w:line="135"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“Over the past century, the Calavo team has built this company into a global leader in the sourcing and distribution of avocados, tomatoes, papayas, and the processing of guacamole and other prepared foods,” said B. John Lindeman, President and Chief Executive Officer of Calavo. “We believe combining with Mission represents a compelling next chapter that will enable our combined business to unlock new growth and expand the impact of our trusted Calavo brand, while also providing our shareholders with compelling value and the opportunity to participate as a shareholder of a global leader in a growing sector. Mission shares our values and our commitment to quality and consistency for customers and growers alike. By joining a larger global platform, we will be better positioned to invest, innovate, and serve the market at scale.”</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Strategic Rationale and Transaction Highlights</w:t>
      </w:r>
    </w:p>
    <w:p>
      <w:pPr>
        <w:spacing w:after="0" w:line="87" w:lineRule="exact"/>
        <w:rPr>
          <w:sz w:val="20"/>
          <w:szCs w:val="20"/>
          <w:color w:val="auto"/>
        </w:rPr>
      </w:pPr>
    </w:p>
    <w:p>
      <w:pPr>
        <w:ind w:left="940" w:right="739" w:hanging="219"/>
        <w:spacing w:after="0" w:line="23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The acquisition is expected to bolster Mission’s premier avocado and fresh produce platform in North America and accelerate global expansion. </w:t>
      </w:r>
      <w:r>
        <w:rPr>
          <w:rFonts w:ascii="Times New Roman" w:cs="Times New Roman" w:eastAsia="Times New Roman" w:hAnsi="Times New Roman"/>
          <w:sz w:val="13"/>
          <w:szCs w:val="13"/>
          <w:color w:val="auto"/>
        </w:rPr>
        <w:t>Bringing Calavo into the Mission network is expected to build on Mission’s leading position across the avocado value chain by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expanding Mission’s foothold in Mexico and California. Following closing, Calavo’s two packinghouses in Michoacán and Jalisco will expand Mission’s network to four packinghouses in Mexico, increasing access to high-quality fruit from the country that serves as the #1 source of avocados to the U.S.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This expanded footprint and robust global distribution network positions Mission to provide a more consistent, year-round supply while supporting continued growth across its global customer base.</w:t>
      </w:r>
    </w:p>
    <w:p>
      <w:pPr>
        <w:spacing w:after="0" w:line="72" w:lineRule="exact"/>
        <w:rPr>
          <w:sz w:val="20"/>
          <w:szCs w:val="20"/>
          <w:color w:val="auto"/>
        </w:rPr>
      </w:pPr>
    </w:p>
    <w:p>
      <w:pPr>
        <w:ind w:left="940" w:right="719" w:hanging="219"/>
        <w:spacing w:after="0" w:line="276" w:lineRule="auto"/>
        <w:tabs>
          <w:tab w:leader="none" w:pos="920"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2"/>
          <w:szCs w:val="12"/>
          <w:b w:val="1"/>
          <w:bCs w:val="1"/>
          <w:color w:val="auto"/>
        </w:rPr>
        <w:t>Vertically integrated platform following closing with sourcing security and expanded year-round portfolio across complementary fresh produce categories</w:t>
      </w:r>
      <w:r>
        <w:rPr>
          <w:rFonts w:ascii="Times New Roman" w:cs="Times New Roman" w:eastAsia="Times New Roman" w:hAnsi="Times New Roman"/>
          <w:sz w:val="12"/>
          <w:szCs w:val="12"/>
          <w:color w:val="auto"/>
        </w:rPr>
        <w:t>. Mission has a vertically integrated platform spanning growing, sourcing, packing, marketing, and distribution of avocados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other fresh produce. Upon close, the transaction is expected to broaden Mission’s existing avocado, mango, and blueberry portfolio into additional fresh produce categories offered by Calavo, including tomatoes and papayas. The produce diversification is expected to enable more efficient utilization of the combined distribution network, improve year-round productivity, and help mitigate seasonal troughs in avocado supply.</w:t>
      </w:r>
    </w:p>
    <w:p>
      <w:pPr>
        <w:spacing w:after="0" w:line="50" w:lineRule="exact"/>
        <w:rPr>
          <w:sz w:val="20"/>
          <w:szCs w:val="20"/>
          <w:color w:val="auto"/>
        </w:rPr>
      </w:pPr>
    </w:p>
    <w:p>
      <w:pPr>
        <w:ind w:left="940" w:right="839" w:hanging="219"/>
        <w:spacing w:after="0" w:line="252"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Expected to drive business model diversification with expanded offerings aligned with evolving customer demand. </w:t>
      </w:r>
      <w:r>
        <w:rPr>
          <w:rFonts w:ascii="Times New Roman" w:cs="Times New Roman" w:eastAsia="Times New Roman" w:hAnsi="Times New Roman"/>
          <w:sz w:val="13"/>
          <w:szCs w:val="13"/>
          <w:color w:val="auto"/>
        </w:rPr>
        <w:t>The transaction, once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completed, represents Mission’s entry into the high-growth and attractive prepared food segment, complementing its existing avocado business with Calavo’s value-added, avocado-based prepared foods, such as guacamole. Following closing, Mission will be positioned to continue benefiting from growing consumer demand for convenience, freshness, and better-for-you options.</w:t>
      </w:r>
    </w:p>
    <w:p>
      <w:pPr>
        <w:spacing w:after="0" w:line="64" w:lineRule="exact"/>
        <w:rPr>
          <w:sz w:val="20"/>
          <w:szCs w:val="20"/>
          <w:color w:val="auto"/>
        </w:rPr>
      </w:pPr>
    </w:p>
    <w:p>
      <w:pPr>
        <w:ind w:left="940" w:right="679" w:hanging="219"/>
        <w:spacing w:after="0" w:line="257" w:lineRule="auto"/>
        <w:tabs>
          <w:tab w:leader="none" w:pos="9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b w:val="1"/>
          <w:bCs w:val="1"/>
          <w:color w:val="auto"/>
        </w:rPr>
        <w:t xml:space="preserve">Significant value creation opportunity for shareholders with operational synergies expected to drive significant EBITDA growth and cash flow generation. </w:t>
      </w:r>
      <w:r>
        <w:rPr>
          <w:rFonts w:ascii="Times New Roman" w:cs="Times New Roman" w:eastAsia="Times New Roman" w:hAnsi="Times New Roman"/>
          <w:sz w:val="13"/>
          <w:szCs w:val="13"/>
          <w:color w:val="auto"/>
        </w:rPr>
        <w:t>The transaction is expected to deliver $25 million of annualized cost synergies within 18 months post-close, with meaningful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upside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59690</wp:posOffset>
            </wp:positionV>
            <wp:extent cx="54165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35" w:lineRule="exact"/>
        <w:rPr>
          <w:sz w:val="20"/>
          <w:szCs w:val="20"/>
          <w:color w:val="auto"/>
        </w:rPr>
      </w:pPr>
    </w:p>
    <w:p>
      <w:pPr>
        <w:ind w:left="640"/>
        <w:spacing w:after="0"/>
        <w:tabs>
          <w:tab w:leader="none" w:pos="920" w:val="left"/>
        </w:tabs>
        <w:rPr>
          <w:sz w:val="20"/>
          <w:szCs w:val="20"/>
          <w:color w:val="auto"/>
        </w:rPr>
      </w:pPr>
      <w:r>
        <w:rPr>
          <w:rFonts w:ascii="Times New Roman" w:cs="Times New Roman" w:eastAsia="Times New Roman" w:hAnsi="Times New Roman"/>
          <w:sz w:val="19"/>
          <w:szCs w:val="19"/>
          <w:color w:val="auto"/>
          <w:vertAlign w:val="superscript"/>
        </w:rPr>
        <w:t>1</w:t>
      </w:r>
      <w:r>
        <w:rPr>
          <w:sz w:val="20"/>
          <w:szCs w:val="20"/>
          <w:color w:val="auto"/>
        </w:rPr>
        <w:tab/>
      </w:r>
      <w:r>
        <w:rPr>
          <w:rFonts w:ascii="Times New Roman" w:cs="Times New Roman" w:eastAsia="Times New Roman" w:hAnsi="Times New Roman"/>
          <w:sz w:val="13"/>
          <w:szCs w:val="13"/>
          <w:color w:val="auto"/>
        </w:rPr>
        <w:t>Source: Hass Avocado Board. 2025 Imports.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137" w:name="page138"/>
    <w:bookmarkEnd w:id="137"/>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Details</w:t>
      </w:r>
    </w:p>
    <w:p>
      <w:pPr>
        <w:spacing w:after="0" w:line="8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Under the terms of the Agreement, Calavo stockholders will receive $27.00 per share (based on the 30-trading day volume weighted average price of Mission common stock for the period ending January 13, 2026), comprised of $14.85 in cash and 0.9790 shares of Mission for each share of Calavo. Upon close, based on the shares currently outstanding, Mission shareholders are expected to own approximately 80.3% of the combined company and Calavo shareholders are expected to own approximately 19.7%.</w:t>
      </w:r>
    </w:p>
    <w:p>
      <w:pPr>
        <w:spacing w:after="0" w:line="133" w:lineRule="exact"/>
        <w:rPr>
          <w:sz w:val="20"/>
          <w:szCs w:val="20"/>
          <w:color w:val="auto"/>
        </w:rPr>
      </w:pPr>
    </w:p>
    <w:p>
      <w:pPr>
        <w:ind w:left="640" w:right="839"/>
        <w:spacing w:after="0" w:line="267" w:lineRule="auto"/>
        <w:rPr>
          <w:sz w:val="20"/>
          <w:szCs w:val="20"/>
          <w:color w:val="auto"/>
        </w:rPr>
      </w:pPr>
      <w:r>
        <w:rPr>
          <w:rFonts w:ascii="Times New Roman" w:cs="Times New Roman" w:eastAsia="Times New Roman" w:hAnsi="Times New Roman"/>
          <w:sz w:val="13"/>
          <w:szCs w:val="13"/>
          <w:color w:val="auto"/>
        </w:rPr>
        <w:t>The transaction values Calavo at a total enterprise value of approximately $430 million. The transaction price represents a premium of approximately 26% to Calavo’s 30-trading day volume weighted average price of $21.41.</w:t>
      </w:r>
    </w:p>
    <w:p>
      <w:pPr>
        <w:spacing w:after="0" w:line="122"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The Boards of Directors of both companies have approved the transaction, which is expected to close by the end of August 2026, subject to the receipt of required regulatory approvals, the approvals of Mission and Calavo shareholders, and the satisfaction of other customary closing conditions.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Governance and Management</w:t>
      </w:r>
    </w:p>
    <w:p>
      <w:pPr>
        <w:spacing w:after="0" w:line="80" w:lineRule="exact"/>
        <w:rPr>
          <w:sz w:val="20"/>
          <w:szCs w:val="20"/>
          <w:color w:val="auto"/>
        </w:rPr>
      </w:pPr>
    </w:p>
    <w:p>
      <w:pPr>
        <w:jc w:val="both"/>
        <w:ind w:left="640" w:right="899"/>
        <w:spacing w:after="0" w:line="271" w:lineRule="auto"/>
        <w:rPr>
          <w:sz w:val="20"/>
          <w:szCs w:val="20"/>
          <w:color w:val="auto"/>
        </w:rPr>
      </w:pPr>
      <w:r>
        <w:rPr>
          <w:rFonts w:ascii="Times New Roman" w:cs="Times New Roman" w:eastAsia="Times New Roman" w:hAnsi="Times New Roman"/>
          <w:sz w:val="12"/>
          <w:szCs w:val="12"/>
          <w:color w:val="auto"/>
        </w:rPr>
        <w:t>Upon close of the transaction, John Pawlowski – who on December 18, 2025 was named Mission’s CEO effective as of the close of Mission’s April 2026 Annual Meeting of Shareholders – is expected to serve as Chief Executive Officer of the combined company. Steve Barnard, who will become Executive Chairman of Mission effective as of the close of the 2026 Annual Meeting, is expected to hold the same title for the combined company.</w:t>
      </w:r>
    </w:p>
    <w:p>
      <w:pPr>
        <w:ind w:left="640" w:right="799"/>
        <w:spacing w:after="0" w:line="245" w:lineRule="auto"/>
        <w:rPr>
          <w:sz w:val="20"/>
          <w:szCs w:val="20"/>
          <w:color w:val="auto"/>
        </w:rPr>
      </w:pPr>
      <w:r>
        <w:rPr>
          <w:rFonts w:ascii="Times New Roman" w:cs="Times New Roman" w:eastAsia="Times New Roman" w:hAnsi="Times New Roman"/>
          <w:sz w:val="13"/>
          <w:szCs w:val="13"/>
          <w:color w:val="auto"/>
        </w:rPr>
        <w:t>Pursuant to the terms of the Agreement, the Board of Directors of the combined company is expected to be comprised of 10 individuals. Additionally, one director designated by mutual agreement of Mission and Calavo will be appointed to Mission’s Board, subject to the terms and conditions of the Agreement.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company will be headquartered at Mission’s corporate offices in Oxnard, California.</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Financial Results Update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Calavo separately announced today its fourth quarter and full-year 2025 financial results.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Information</w:t>
      </w:r>
    </w:p>
    <w:p>
      <w:pPr>
        <w:spacing w:after="0" w:line="80" w:lineRule="exact"/>
        <w:rPr>
          <w:sz w:val="20"/>
          <w:szCs w:val="20"/>
          <w:color w:val="auto"/>
        </w:rPr>
      </w:pPr>
    </w:p>
    <w:p>
      <w:pPr>
        <w:ind w:left="640" w:right="979"/>
        <w:spacing w:after="0" w:line="255" w:lineRule="auto"/>
        <w:rPr>
          <w:sz w:val="20"/>
          <w:szCs w:val="20"/>
          <w:color w:val="auto"/>
        </w:rPr>
      </w:pPr>
      <w:r>
        <w:rPr>
          <w:rFonts w:ascii="Times New Roman" w:cs="Times New Roman" w:eastAsia="Times New Roman" w:hAnsi="Times New Roman"/>
          <w:sz w:val="13"/>
          <w:szCs w:val="13"/>
          <w:color w:val="auto"/>
        </w:rPr>
        <w:t>Mission and Calavo will host a joint conference call today at 4:30 p.m. EST to discuss the proposed transaction. To listen to the call and access the presentation materials, please visit Mission’s website at https://investors.missionproduce.com/news-events/events or Calavo’s website at https://ir.calavo.com. A recording of the call will also be available on both companies’ websites.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Advisors</w:t>
      </w:r>
    </w:p>
    <w:p>
      <w:pPr>
        <w:spacing w:after="0" w:line="80" w:lineRule="exact"/>
        <w:rPr>
          <w:sz w:val="20"/>
          <w:szCs w:val="20"/>
          <w:color w:val="auto"/>
        </w:rPr>
      </w:pPr>
    </w:p>
    <w:p>
      <w:pPr>
        <w:ind w:left="640" w:right="719"/>
        <w:spacing w:after="0" w:line="267" w:lineRule="auto"/>
        <w:rPr>
          <w:sz w:val="20"/>
          <w:szCs w:val="20"/>
          <w:color w:val="auto"/>
        </w:rPr>
      </w:pPr>
      <w:r>
        <w:rPr>
          <w:rFonts w:ascii="Times New Roman" w:cs="Times New Roman" w:eastAsia="Times New Roman" w:hAnsi="Times New Roman"/>
          <w:sz w:val="13"/>
          <w:szCs w:val="13"/>
          <w:color w:val="auto"/>
        </w:rPr>
        <w:t>Evercore is serving as exclusive financial advisor to Mission, and Latham &amp; Watkins LLP is serving as its legal advisor. Alvarez &amp; Marsal is serving as Mission’s business, tax and financial diligence advisor, and FGS Global is serving as Mission’s strategic communications advisor.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38" w:name="page139"/>
    <w:bookmarkEnd w:id="138"/>
    <w:p>
      <w:pPr>
        <w:ind w:left="640" w:right="81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Jefferies LLC is serving as exclusive financial advisor to Calavo, and Cozen O’Connor P.C. is serving as its legal advisor. PwC is serving as Calavo’s financial, tax and synergies diligence advisor, and Financial Profiles is serving as Calavo’s strategic communications advisor.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Mission Produce, Inc.</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Mission Produce, Inc. (NASDAQ: AVO) is a global leader in the worldwide fresh produce business, delivering fresh Hass avocados and mangos to retail, wholesale and foodservice customers in over 25 countries. Since 1983, Mission has been sourcing, producing and distributing fresh Hass avocados, and today also markets mangos and grows blueberries as part of its diversified portfolio. The Company is vertically integrated and owns five state-of-the-art packing facilities across the U.S., Mexico, Peru, and Guatemala. With sourcing capabilities across 20+ premium growing regions, the company provides a year-round supply of premium fresh fruit. Mission’s global distribution network includes strategically positioned forward distribution centers across key markets throughout North America, China, Europe, and the UK, offering value-added services such as ripening, bagging, custom packing and logistical management. For more information, please visit www.missionproduce.com.</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Calavo Growers, Inc.</w:t>
      </w:r>
    </w:p>
    <w:p>
      <w:pPr>
        <w:spacing w:after="0" w:line="80" w:lineRule="exact"/>
        <w:rPr>
          <w:sz w:val="20"/>
          <w:szCs w:val="20"/>
          <w:color w:val="auto"/>
        </w:rPr>
      </w:pPr>
    </w:p>
    <w:p>
      <w:pPr>
        <w:ind w:left="640" w:right="719"/>
        <w:spacing w:after="0" w:line="259" w:lineRule="auto"/>
        <w:rPr>
          <w:sz w:val="20"/>
          <w:szCs w:val="20"/>
          <w:color w:val="auto"/>
        </w:rPr>
      </w:pPr>
      <w:r>
        <w:rPr>
          <w:rFonts w:ascii="Times New Roman" w:cs="Times New Roman" w:eastAsia="Times New Roman" w:hAnsi="Times New Roman"/>
          <w:sz w:val="13"/>
          <w:szCs w:val="13"/>
          <w:color w:val="auto"/>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at calavo.com.</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80"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2"/>
          <w:szCs w:val="12"/>
          <w:color w:val="auto"/>
        </w:rPr>
        <w:t>This communication contains certain “forward-looking statements” within the meaning of federal securities laws. Forward-looking statements may be identified by words such as “anticipates,” “believes,” “could,” “continue,” “estimate,” “expects,” “intends,” “will,” “should,” “may,” “plan,” “predict,” “project,” “would” and similar expressions. Forward-looking statements are not statements of historical fact and reflect Calavo’s and Mission’s current views about future events. Such forward-looking statements include, without limitation, statements about the benefits of the proposed transaction involving Calavo and Mission, including future financial and operating results, Calavo’s and Mission’s plans, objectives, expectations and intentions, the expected timing and likelihood of completion of the proposed transaction, and other statements that are not historical facts, including the combined company’s ability to create an advanced marketing and sales platform, the combined company’s ability to accelerate innovation and enhance efficiency through the transaction, and the combined company’s plan on future stockholder returns. No assurances can be given that the forward-looking statements contained in this communication will occur as projected, and actual results may differ materially from those projected. Forward-looking statements are based on current expectations, estimates and assumptions that involve a number of risks and uncertainties that could cause actual results to differ materially from those projected. These risks and uncertainties include, without limitation, the ability to obtain the requisite Calavo and Mission stockholder approvals; the risk that Calavo or Mission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39" w:name="page140"/>
    <w:bookmarkEnd w:id="139"/>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unanticipated changes related to competitive factors in the fresh foods or packaged foods industries; unanticipated changes to, or any inability to hire and retain key personnel at either company; currency exchange rate fluctuations; reliance on information technology systems and risks related to cybersecurity incidents; changes in legislation or governmental regulations; risks associated with assumptions made in connection with critical accounting estimates and legal proceedings; risks related to international operations; risks related to environmental, social, and governance goals and initiatives; and other risks inherent in Calavo’s and Mission’s businesses.</w:t>
      </w:r>
    </w:p>
    <w:p>
      <w:pPr>
        <w:spacing w:after="0" w:line="137" w:lineRule="exact"/>
        <w:rPr>
          <w:sz w:val="20"/>
          <w:szCs w:val="20"/>
          <w:color w:val="auto"/>
        </w:rPr>
      </w:pPr>
    </w:p>
    <w:p>
      <w:pPr>
        <w:ind w:left="640" w:right="699"/>
        <w:spacing w:after="0" w:line="246" w:lineRule="auto"/>
        <w:rPr>
          <w:sz w:val="20"/>
          <w:szCs w:val="20"/>
          <w:color w:val="auto"/>
        </w:rPr>
      </w:pPr>
      <w:r>
        <w:rPr>
          <w:rFonts w:ascii="Times New Roman" w:cs="Times New Roman" w:eastAsia="Times New Roman" w:hAnsi="Times New Roman"/>
          <w:sz w:val="13"/>
          <w:szCs w:val="13"/>
          <w:color w:val="auto"/>
        </w:rPr>
        <w:t>All such factors are difficult to predict, are beyond Calavo’s and Mission’s control, and are subject to additional risks and uncertainties, including those detailed in Calavo’s most recent annual report on Form 10-K, quarterly reports on Form 10-Q, and current reports on Form 8-K that are available on its website at https://ir.calavo.com/financial-information/sec-filings and on the U.S. Securities and Exchange Commission (“SEC”)’s website at http://www.sec.gov, and those detailed in Mission’s most recent annual report, quarterly reports on Form 10-Q and current reports on Form 8-K that are available on Mission’s website at https://investors.missionproduce.com/financial-information/sec-filings and on the SEC’s website at http://www.sec.gov. Forward-looking statements are based on the estimates and opinions of management at the time the statements are made. Neither Calavo nor Mission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NO OFFER OR SOLICITATION</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40" w:name="page141"/>
    <w:bookmarkEnd w:id="140"/>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ADDITIONAL INFORMATION WILL BE FILED WITH THE SEC</w:t>
      </w:r>
    </w:p>
    <w:p>
      <w:pPr>
        <w:spacing w:after="0" w:line="80" w:lineRule="exact"/>
        <w:rPr>
          <w:sz w:val="20"/>
          <w:szCs w:val="20"/>
          <w:color w:val="auto"/>
        </w:rPr>
      </w:pPr>
    </w:p>
    <w:p>
      <w:pPr>
        <w:ind w:left="640" w:right="73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Calavo and Mission intend to file a joint proxy statement with the SEC and Calavo intends to file with the SEC a registration statement on Form S-4 that will include the joint proxy statement of Calavo and Mission and that will also constitute a prospectus of Calavo (the “Joint Proxy Statement/Prospectus”). Each of Calavo and Mission may also file other relevant documents with the SEC regarding the proposed transaction. This document is not a substitute for the Joint Proxy Statement/Prospectus or registration statement or any other document that Calavo or Mission may file with the SEC. The definitive Joint Proxy Statement/Prospectus (if and when available) will be mailed to stockholders of Calavo and Mission.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AND THE PROPOSED TRANSACTION.</w:t>
      </w:r>
    </w:p>
    <w:p>
      <w:pPr>
        <w:spacing w:after="0" w:line="13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Investors and security holders will be able to obtain free copies of the registration statement and Joint Proxy Statement/Prospectus (if and when available) and other documents containing important information about Calavo, Mission and the proposed transaction, once such documents are filed with the SEC through the website maintained by the SEC at http://www.sec.gov. Copies of the Form S-4 and Joint Proxy Statement/Prospectus (if and when available) and other documents filed with the SEC by Calavo may be obtained free of charge on Calavo’s website at Calavo’s SEC Filings Website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may be obtained free of charge on Mission’s website at Mission’s SEC Filings Website or, alternatively, by directing a request by mail to Mission’s Corporate Secretary at Attention: Corporate Secretary, Mission Produce, Inc., 2710 Camino Del Sol, Oxnard, CA 93030.</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PARTICIPANTS IN THE SOLICITATION</w:t>
      </w:r>
    </w:p>
    <w:p>
      <w:pPr>
        <w:spacing w:after="0" w:line="80" w:lineRule="exact"/>
        <w:rPr>
          <w:sz w:val="20"/>
          <w:szCs w:val="20"/>
          <w:color w:val="auto"/>
        </w:rPr>
      </w:pPr>
    </w:p>
    <w:p>
      <w:pPr>
        <w:jc w:val="both"/>
        <w:ind w:left="640" w:right="699"/>
        <w:spacing w:after="0" w:line="271" w:lineRule="auto"/>
        <w:rPr>
          <w:sz w:val="20"/>
          <w:szCs w:val="20"/>
          <w:color w:val="auto"/>
        </w:rPr>
      </w:pPr>
      <w:r>
        <w:rPr>
          <w:rFonts w:ascii="Times New Roman" w:cs="Times New Roman" w:eastAsia="Times New Roman" w:hAnsi="Times New Roman"/>
          <w:sz w:val="12"/>
          <w:szCs w:val="12"/>
          <w:color w:val="auto"/>
        </w:rPr>
        <w:t>Calavo, Mission and certain of their respective directors and executive officers may be deemed to be participants in the solicitation of proxies in respect of the proposed transaction. Information about the directors and executive officers of Calavo, including a description of their direct or indirect interests, by security holdings or otherwise, is set forth in Calavo’s annual report on Form 10-K for the year ended October 31, 2024, including under the heading</w:t>
      </w:r>
    </w:p>
    <w:p>
      <w:pPr>
        <w:ind w:left="640" w:right="679"/>
        <w:spacing w:after="0" w:line="265" w:lineRule="auto"/>
        <w:rPr>
          <w:sz w:val="20"/>
          <w:szCs w:val="20"/>
          <w:color w:val="auto"/>
        </w:rPr>
      </w:pPr>
      <w:r>
        <w:rPr>
          <w:rFonts w:ascii="Times New Roman" w:cs="Times New Roman" w:eastAsia="Times New Roman" w:hAnsi="Times New Roman"/>
          <w:sz w:val="12"/>
          <w:szCs w:val="12"/>
          <w:color w:val="auto"/>
        </w:rPr>
        <w:t>“ Directors, Executive Officers, and Corporate Governance;” proxy statement for Calavo’s 2025 Annual Meeting of Stockholders, which was filed with the SEC on February 28, 2025, including under the headings and subheadings “Executive Compensation,” “Proposal No. 1 Election Board of Directors,” and “Common Stock Ownership Information of Certain Beneficial Owners and Managers;” and Item 5.02 of Calavo’s current reports on Form 8-K filed on November 13, 2025, November 25, 2025, and December 12, 2025. To the extent holdings of Calavo Common Stock by the directors and executive officers of Calavo have changed from 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Calavo’s directors and executive officers with the SEC. Information about the directors and executive officers of Mission, including a description of their direct or indirect interests, by security holdings or otherwise, is set forth in Mission’s annual report on Form 10-K for the year ended October 31, 2025, and proxy statement for Mission’s 2025 Annual Meeting of Stockholders, which was filed with the SEC on February 25, 2025, including under the headings and subheadings “2024 Director Composition,” “Executive Compensation” and “Security Ownership of Certain Beneficial Owners and Management.” To the extent holdings of Mission Shares by the directors and executive officers of Mission have changed from the amounts reflected therein, such changes have been or will be reflected</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141" w:name="page142"/>
    <w:bookmarkEnd w:id="141"/>
    <w:p>
      <w:pPr>
        <w:ind w:left="640" w:right="73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Forms 3, Forms 4 or Forms 5, subsequently filed by Mission’s directors and executive officers with the SEC. Other information regarding the participants in the proxy solicitations and a description of their direct and indirect interests, by security holdings or otherwise, will be contained in the registration statement and Joint Proxy Statement/Prospectus and other relevant materials to be filed with the SEC regarding the proposed transaction when such materials become available. Investors and security holders should read the registration statement and Joint Proxy Statement/Prospectus carefully when it becomes available before making any voting or investment decisions. You may obtain free copies of any of the documents referenced herein from Calavo or Mission using the sources indicated above.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Contacts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Mission Produce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Jenna Aguilera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Marketing Content and Communications Manager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 Produce, Inc.</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press@missionproduce.com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FGS Global</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missionproduce@fgsglobal.com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 Sonnek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646-277-1263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jeff.sonnek@icrinc.com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Calavo Growers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Media</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Kelly McAndrew</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Kmcandrew@finprofiles.com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203-613-1552</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Investors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Alex Villalta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Financial Profiles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avillalta@finprofiles.com</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310-622-8227</w:t>
      </w:r>
    </w:p>
    <w:p>
      <w:pPr>
        <w:spacing w:after="0" w:line="141" w:lineRule="exact"/>
        <w:rPr>
          <w:sz w:val="20"/>
          <w:szCs w:val="20"/>
          <w:color w:val="auto"/>
        </w:rPr>
      </w:pPr>
    </w:p>
    <w:p>
      <w:pPr>
        <w:jc w:val="center"/>
        <w:ind w:right="19"/>
        <w:spacing w:after="0"/>
        <w:tabs>
          <w:tab w:leader="none" w:pos="100" w:val="left"/>
        </w:tabs>
        <w:rPr>
          <w:sz w:val="20"/>
          <w:szCs w:val="20"/>
          <w:color w:val="auto"/>
        </w:rPr>
      </w:pPr>
      <w:r>
        <w:rPr>
          <w:rFonts w:ascii="Times New Roman" w:cs="Times New Roman" w:eastAsia="Times New Roman" w:hAnsi="Times New Roman"/>
          <w:sz w:val="13"/>
          <w:szCs w:val="13"/>
          <w:color w:val="auto"/>
        </w:rPr>
        <w:t xml:space="preserve">#      #    </w:t>
      </w:r>
      <w:r>
        <w:rPr>
          <w:sz w:val="20"/>
          <w:szCs w:val="20"/>
          <w:color w:val="auto"/>
        </w:rPr>
        <w:tab/>
      </w:r>
      <w:r>
        <w:rPr>
          <w:rFonts w:ascii="Times New Roman" w:cs="Times New Roman" w:eastAsia="Times New Roman" w:hAnsi="Times New Roman"/>
          <w:sz w:val="12"/>
          <w:szCs w:val="12"/>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Letter"/>
      <w:start w:val="26"/>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1)"/>
      <w:numFmt w:val="lowerRoman"/>
      <w:start w:val="1"/>
    </w:lvl>
  </w:abstractNum>
  <w:abstractNum w:abstractNumId="5">
    <w:nsid w:val="168E121F"/>
    <w:multiLevelType w:val="hybridMultilevel"/>
    <w:lvl w:ilvl="0">
      <w:lvlJc w:val="left"/>
      <w:lvlText w:val="(%1)"/>
      <w:numFmt w:val="lowerLetter"/>
      <w:start w:val="1"/>
    </w:lvl>
  </w:abstractNum>
  <w:abstractNum w:abstractNumId="6">
    <w:nsid w:val="1EBA5D23"/>
    <w:multiLevelType w:val="hybridMultilevel"/>
    <w:lvl w:ilvl="0">
      <w:lvlJc w:val="left"/>
      <w:lvlText w:val="%1"/>
      <w:numFmt w:val="upperLetter"/>
      <w:start w:val="1"/>
    </w:lvl>
    <w:lvl w:ilvl="1">
      <w:lvlJc w:val="left"/>
      <w:lvlText w:val="(%2)"/>
      <w:numFmt w:val="lowerLetter"/>
      <w:start w:val="1"/>
    </w:lvl>
  </w:abstractNum>
  <w:abstractNum w:abstractNumId="7">
    <w:nsid w:val="661E3F1E"/>
    <w:multiLevelType w:val="hybridMultilevel"/>
    <w:lvl w:ilvl="0">
      <w:lvlJc w:val="left"/>
      <w:lvlText w:val="(%1)"/>
      <w:numFmt w:val="lowerLetter"/>
      <w:start w:val="1"/>
    </w:lvl>
  </w:abstractNum>
  <w:abstractNum w:abstractNumId="8">
    <w:nsid w:val="5DC79EA8"/>
    <w:multiLevelType w:val="hybridMultilevel"/>
    <w:lvl w:ilvl="0">
      <w:lvlJc w:val="left"/>
      <w:lvlText w:val="(%1)"/>
      <w:numFmt w:val="lowerLetter"/>
      <w:start w:val="1"/>
    </w:lvl>
  </w:abstractNum>
  <w:abstractNum w:abstractNumId="9">
    <w:nsid w:val="540A471C"/>
    <w:multiLevelType w:val="hybridMultilevel"/>
    <w:lvl w:ilvl="0">
      <w:lvlJc w:val="left"/>
      <w:lvlText w:val="(%1)"/>
      <w:numFmt w:val="lowerLetter"/>
      <w:start w:val="4"/>
    </w:lvl>
  </w:abstractNum>
  <w:abstractNum w:abstractNumId="10">
    <w:nsid w:val="7BD3EE7B"/>
    <w:multiLevelType w:val="hybridMultilevel"/>
    <w:lvl w:ilvl="0">
      <w:lvlJc w:val="left"/>
      <w:lvlText w:val="(%1)"/>
      <w:numFmt w:val="lowerLetter"/>
      <w:start w:val="1"/>
    </w:lvl>
  </w:abstractNum>
  <w:abstractNum w:abstractNumId="11">
    <w:nsid w:val="51D9C564"/>
    <w:multiLevelType w:val="hybridMultilevel"/>
    <w:lvl w:ilvl="0">
      <w:lvlJc w:val="left"/>
      <w:lvlText w:val="(%1)"/>
      <w:numFmt w:val="lowerLetter"/>
      <w:start w:val="3"/>
    </w:lvl>
  </w:abstractNum>
  <w:abstractNum w:abstractNumId="12">
    <w:nsid w:val="613EFDC5"/>
    <w:multiLevelType w:val="hybridMultilevel"/>
    <w:lvl w:ilvl="0">
      <w:lvlJc w:val="left"/>
      <w:lvlText w:val="(%1)"/>
      <w:numFmt w:val="lowerLetter"/>
      <w:start w:val="6"/>
    </w:lvl>
  </w:abstractNum>
  <w:abstractNum w:abstractNumId="13">
    <w:nsid w:val="BF72B14"/>
    <w:multiLevelType w:val="hybridMultilevel"/>
    <w:lvl w:ilvl="0">
      <w:lvlJc w:val="left"/>
      <w:lvlText w:val="(%1)"/>
      <w:numFmt w:val="lowerLetter"/>
      <w:start w:val="1"/>
    </w:lvl>
  </w:abstractNum>
  <w:abstractNum w:abstractNumId="14">
    <w:nsid w:val="11447B73"/>
    <w:multiLevelType w:val="hybridMultilevel"/>
    <w:lvl w:ilvl="0">
      <w:lvlJc w:val="left"/>
      <w:lvlText w:val="(%1)"/>
      <w:numFmt w:val="lowerLetter"/>
      <w:start w:val="2"/>
    </w:lvl>
  </w:abstractNum>
  <w:abstractNum w:abstractNumId="15">
    <w:nsid w:val="42963E5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9"/>
    </w:lvl>
  </w:abstractNum>
  <w:abstractNum w:abstractNumId="16">
    <w:nsid w:val="A0382C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7">
    <w:nsid w:val="8F2B15E"/>
    <w:multiLevelType w:val="hybridMultilevel"/>
    <w:lvl w:ilvl="0">
      <w:lvlJc w:val="left"/>
      <w:lvlText w:val="%1"/>
      <w:numFmt w:val="lowerLetter"/>
      <w:start w:val="1"/>
    </w:lvl>
    <w:lvl w:ilvl="1">
      <w:lvlJc w:val="left"/>
      <w:lvlText w:val="(%2)"/>
      <w:numFmt w:val="lowerLetter"/>
      <w:start w:val="61"/>
    </w:lvl>
  </w:abstractNum>
  <w:abstractNum w:abstractNumId="18">
    <w:nsid w:val="1A32234B"/>
    <w:multiLevelType w:val="hybridMultilevel"/>
    <w:lvl w:ilvl="0">
      <w:lvlJc w:val="left"/>
      <w:lvlText w:val="(%1)"/>
      <w:numFmt w:val="lowerLetter"/>
      <w:start w:val="5"/>
    </w:lvl>
    <w:lvl w:ilvl="1">
      <w:lvlJc w:val="left"/>
      <w:lvlText w:val="%2"/>
      <w:numFmt w:val="lowerLetter"/>
      <w:start w:val="1"/>
    </w:lvl>
  </w:abstractNum>
  <w:abstractNum w:abstractNumId="19">
    <w:nsid w:val="3B0FD379"/>
    <w:multiLevelType w:val="hybridMultilevel"/>
    <w:lvl w:ilvl="0">
      <w:lvlJc w:val="left"/>
      <w:lvlText w:val="(%1)"/>
      <w:numFmt w:val="lowerLetter"/>
      <w:start w:val="1"/>
    </w:lvl>
  </w:abstractNum>
  <w:abstractNum w:abstractNumId="20">
    <w:nsid w:val="68EB2F63"/>
    <w:multiLevelType w:val="hybridMultilevel"/>
    <w:lvl w:ilvl="0">
      <w:lvlJc w:val="left"/>
      <w:lvlText w:val="(%1)"/>
      <w:numFmt w:val="lowerLetter"/>
      <w:start w:val="3"/>
    </w:lvl>
  </w:abstractNum>
  <w:abstractNum w:abstractNumId="21">
    <w:nsid w:val="4962813B"/>
    <w:multiLevelType w:val="hybridMultilevel"/>
    <w:lvl w:ilvl="0">
      <w:lvlJc w:val="left"/>
      <w:lvlText w:val="%1"/>
      <w:numFmt w:val="lowerLetter"/>
      <w:start w:val="1"/>
    </w:lvl>
    <w:lvl w:ilvl="1">
      <w:lvlJc w:val="left"/>
      <w:lvlText w:val="(%2)"/>
      <w:numFmt w:val="lowerLetter"/>
      <w:start w:val="1"/>
    </w:lvl>
  </w:abstractNum>
  <w:abstractNum w:abstractNumId="22">
    <w:nsid w:val="60B6DF70"/>
    <w:multiLevelType w:val="hybridMultilevel"/>
    <w:lvl w:ilvl="0">
      <w:lvlJc w:val="left"/>
      <w:lvlText w:val="(%1)"/>
      <w:numFmt w:val="lowerLetter"/>
      <w:start w:val="9"/>
    </w:lvl>
    <w:lvl w:ilvl="1">
      <w:lvlJc w:val="left"/>
      <w:lvlText w:val="(%2)"/>
      <w:numFmt w:val="lowerLetter"/>
      <w:start w:val="2"/>
    </w:lvl>
  </w:abstractNum>
  <w:abstractNum w:abstractNumId="23">
    <w:nsid w:val="6A5EE64"/>
    <w:multiLevelType w:val="hybridMultilevel"/>
    <w:lvl w:ilvl="0">
      <w:lvlJc w:val="left"/>
      <w:lvlText w:val="(%1)"/>
      <w:numFmt w:val="lowerLetter"/>
      <w:start w:val="4"/>
    </w:lvl>
  </w:abstractNum>
  <w:abstractNum w:abstractNumId="24">
    <w:nsid w:val="14330624"/>
    <w:multiLevelType w:val="hybridMultilevel"/>
    <w:lvl w:ilvl="0">
      <w:lvlJc w:val="left"/>
      <w:lvlText w:val="(%1)"/>
      <w:numFmt w:val="lowerLetter"/>
      <w:start w:val="1"/>
    </w:lvl>
  </w:abstractNum>
  <w:abstractNum w:abstractNumId="25">
    <w:nsid w:val="7FFFCA11"/>
    <w:multiLevelType w:val="hybridMultilevel"/>
    <w:lvl w:ilvl="0">
      <w:lvlJc w:val="left"/>
      <w:lvlText w:val="(%1)"/>
      <w:numFmt w:val="lowerLetter"/>
      <w:start w:val="1"/>
    </w:lvl>
  </w:abstractNum>
  <w:abstractNum w:abstractNumId="26">
    <w:nsid w:val="1A27709E"/>
    <w:multiLevelType w:val="hybridMultilevel"/>
    <w:lvl w:ilvl="0">
      <w:lvlJc w:val="left"/>
      <w:lvlText w:val="(%1)"/>
      <w:numFmt w:val="lowerLetter"/>
      <w:start w:val="2"/>
    </w:lvl>
  </w:abstractNum>
  <w:abstractNum w:abstractNumId="27">
    <w:nsid w:val="71EA1109"/>
    <w:multiLevelType w:val="hybridMultilevel"/>
    <w:lvl w:ilvl="0">
      <w:lvlJc w:val="left"/>
      <w:lvlText w:val="(%1)"/>
      <w:numFmt w:val="lowerLetter"/>
      <w:start w:val="1"/>
    </w:lvl>
  </w:abstractNum>
  <w:abstractNum w:abstractNumId="28">
    <w:nsid w:val="100F59DC"/>
    <w:multiLevelType w:val="hybridMultilevel"/>
    <w:lvl w:ilvl="0">
      <w:lvlJc w:val="left"/>
      <w:lvlText w:val="(%1)"/>
      <w:numFmt w:val="lowerLetter"/>
      <w:start w:val="1"/>
    </w:lvl>
  </w:abstractNum>
  <w:abstractNum w:abstractNumId="29">
    <w:nsid w:val="7FB7E0AA"/>
    <w:multiLevelType w:val="hybridMultilevel"/>
    <w:lvl w:ilvl="0">
      <w:lvlJc w:val="left"/>
      <w:lvlText w:val="%1"/>
      <w:numFmt w:val="lowerRoman"/>
      <w:start w:val="1"/>
    </w:lvl>
    <w:lvl w:ilvl="1">
      <w:lvlJc w:val="left"/>
      <w:lvlText w:val="(%2)"/>
      <w:numFmt w:val="lowerLetter"/>
      <w:start w:val="2"/>
    </w:lvl>
  </w:abstractNum>
  <w:abstractNum w:abstractNumId="30">
    <w:nsid w:val="6EB5BD4"/>
    <w:multiLevelType w:val="hybridMultilevel"/>
    <w:lvl w:ilvl="0">
      <w:lvlJc w:val="left"/>
      <w:lvlText w:val="(%1)"/>
      <w:numFmt w:val="lowerRoman"/>
      <w:start w:val="4"/>
    </w:lvl>
    <w:lvl w:ilvl="1">
      <w:lvlJc w:val="left"/>
      <w:lvlText w:val="%2"/>
      <w:numFmt w:val="lowerLetter"/>
      <w:start w:val="1"/>
    </w:lvl>
  </w:abstractNum>
  <w:abstractNum w:abstractNumId="31">
    <w:nsid w:val="6F6DD9AC"/>
    <w:multiLevelType w:val="hybridMultilevel"/>
    <w:lvl w:ilvl="0">
      <w:lvlJc w:val="left"/>
      <w:lvlText w:val="(%1)"/>
      <w:numFmt w:val="lowerLetter"/>
      <w:start w:val="4"/>
    </w:lvl>
  </w:abstractNum>
  <w:abstractNum w:abstractNumId="32">
    <w:nsid w:val="94211F2"/>
    <w:multiLevelType w:val="hybridMultilevel"/>
    <w:lvl w:ilvl="0">
      <w:lvlJc w:val="left"/>
      <w:lvlText w:val="%1"/>
      <w:numFmt w:val="lowerLetter"/>
      <w:start w:val="1"/>
    </w:lvl>
    <w:lvl w:ilvl="1">
      <w:lvlJc w:val="left"/>
      <w:lvlText w:val="(%2)"/>
      <w:numFmt w:val="lowerLetter"/>
      <w:start w:val="1"/>
    </w:lvl>
  </w:abstractNum>
  <w:abstractNum w:abstractNumId="33">
    <w:nsid w:val="885E1B"/>
    <w:multiLevelType w:val="hybridMultilevel"/>
    <w:lvl w:ilvl="0">
      <w:lvlJc w:val="left"/>
      <w:lvlText w:val="(%1)"/>
      <w:numFmt w:val="lowerLetter"/>
      <w:start w:val="1"/>
    </w:lvl>
    <w:lvl w:ilvl="1">
      <w:lvlJc w:val="left"/>
      <w:lvlText w:val="(%2)"/>
      <w:numFmt w:val="lowerLetter"/>
      <w:start w:val="2"/>
    </w:lvl>
  </w:abstractNum>
  <w:abstractNum w:abstractNumId="34">
    <w:nsid w:val="76272110"/>
    <w:multiLevelType w:val="hybridMultilevel"/>
    <w:lvl w:ilvl="0">
      <w:lvlJc w:val="left"/>
      <w:lvlText w:val="(%1)"/>
      <w:numFmt w:val="lowerLetter"/>
      <w:start w:val="1"/>
    </w:lvl>
  </w:abstractNum>
  <w:abstractNum w:abstractNumId="35">
    <w:nsid w:val="4C04A8AF"/>
    <w:multiLevelType w:val="hybridMultilevel"/>
    <w:lvl w:ilvl="0">
      <w:lvlJc w:val="left"/>
      <w:lvlText w:val="(%1)"/>
      <w:numFmt w:val="lowerLetter"/>
      <w:start w:val="1"/>
    </w:lvl>
  </w:abstractNum>
  <w:abstractNum w:abstractNumId="36">
    <w:nsid w:val="1716703B"/>
    <w:multiLevelType w:val="hybridMultilevel"/>
    <w:lvl w:ilvl="0">
      <w:lvlJc w:val="left"/>
      <w:lvlText w:val="%1"/>
      <w:numFmt w:val="lowerLetter"/>
      <w:start w:val="1"/>
    </w:lvl>
    <w:lvl w:ilvl="1">
      <w:lvlJc w:val="left"/>
      <w:lvlText w:val="(%2)"/>
      <w:numFmt w:val="lowerLetter"/>
      <w:start w:val="2"/>
    </w:lvl>
  </w:abstractNum>
  <w:abstractNum w:abstractNumId="37">
    <w:nsid w:val="14E17E33"/>
    <w:multiLevelType w:val="hybridMultilevel"/>
    <w:lvl w:ilvl="0">
      <w:lvlJc w:val="left"/>
      <w:lvlText w:val="(%1)"/>
      <w:numFmt w:val="lowerLetter"/>
      <w:start w:val="22"/>
    </w:lvl>
    <w:lvl w:ilvl="1">
      <w:lvlJc w:val="left"/>
      <w:lvlText w:val="(%2)"/>
      <w:numFmt w:val="lowerLetter"/>
      <w:start w:val="3"/>
    </w:lvl>
  </w:abstractNum>
  <w:abstractNum w:abstractNumId="38">
    <w:nsid w:val="3222E7CD"/>
    <w:multiLevelType w:val="hybridMultilevel"/>
    <w:lvl w:ilvl="0">
      <w:lvlJc w:val="left"/>
      <w:lvlText w:val="(%1)"/>
      <w:numFmt w:val="lowerLetter"/>
      <w:start w:val="4"/>
    </w:lvl>
  </w:abstractNum>
  <w:abstractNum w:abstractNumId="39">
    <w:nsid w:val="74DE0EE3"/>
    <w:multiLevelType w:val="hybridMultilevel"/>
    <w:lvl w:ilvl="0">
      <w:lvlJc w:val="left"/>
      <w:lvlText w:val="%1"/>
      <w:numFmt w:val="lowerLetter"/>
      <w:start w:val="1"/>
    </w:lvl>
    <w:lvl w:ilvl="1">
      <w:lvlJc w:val="left"/>
      <w:lvlText w:val="(%2)"/>
      <w:numFmt w:val="lowerLetter"/>
      <w:start w:val="8"/>
    </w:lvl>
  </w:abstractNum>
  <w:abstractNum w:abstractNumId="40">
    <w:nsid w:val="68EBC550"/>
    <w:multiLevelType w:val="hybridMultilevel"/>
    <w:lvl w:ilvl="0">
      <w:lvlJc w:val="left"/>
      <w:lvlText w:val="(%1)"/>
      <w:numFmt w:val="lowerLetter"/>
      <w:start w:val="9"/>
    </w:lvl>
    <w:lvl w:ilvl="1">
      <w:lvlJc w:val="left"/>
      <w:lvlText w:val="%2"/>
      <w:numFmt w:val="lowerLetter"/>
      <w:start w:val="1"/>
    </w:lvl>
  </w:abstractNum>
  <w:abstractNum w:abstractNumId="41">
    <w:nsid w:val="2DF6D648"/>
    <w:multiLevelType w:val="hybridMultilevel"/>
    <w:lvl w:ilvl="0">
      <w:lvlJc w:val="left"/>
      <w:lvlText w:val="(%1)"/>
      <w:numFmt w:val="lowerLetter"/>
      <w:start w:val="1"/>
    </w:lvl>
  </w:abstractNum>
  <w:abstractNum w:abstractNumId="42">
    <w:nsid w:val="46B7D447"/>
    <w:multiLevelType w:val="hybridMultilevel"/>
    <w:lvl w:ilvl="0">
      <w:lvlJc w:val="left"/>
      <w:lvlText w:val="(%1)"/>
      <w:numFmt w:val="lowerLetter"/>
      <w:start w:val="2"/>
    </w:lvl>
  </w:abstractNum>
  <w:abstractNum w:abstractNumId="43">
    <w:nsid w:val="4A2AC315"/>
    <w:multiLevelType w:val="hybridMultilevel"/>
    <w:lvl w:ilvl="0">
      <w:lvlJc w:val="left"/>
      <w:lvlText w:val="(%1)"/>
      <w:numFmt w:val="lowerLetter"/>
      <w:start w:val="1"/>
    </w:lvl>
  </w:abstractNum>
  <w:abstractNum w:abstractNumId="44">
    <w:nsid w:val="39EE015C"/>
    <w:multiLevelType w:val="hybridMultilevel"/>
    <w:lvl w:ilvl="0">
      <w:lvlJc w:val="left"/>
      <w:lvlText w:val="(%1)"/>
      <w:numFmt w:val="lowerLetter"/>
      <w:start w:val="2"/>
    </w:lvl>
  </w:abstractNum>
  <w:abstractNum w:abstractNumId="45">
    <w:nsid w:val="57FC4FBB"/>
    <w:multiLevelType w:val="hybridMultilevel"/>
    <w:lvl w:ilvl="0">
      <w:lvlJc w:val="left"/>
      <w:lvlText w:val="(%1)"/>
      <w:numFmt w:val="lowerLetter"/>
      <w:start w:val="7"/>
    </w:lvl>
  </w:abstractNum>
  <w:abstractNum w:abstractNumId="46">
    <w:nsid w:val="CC1016F"/>
    <w:multiLevelType w:val="hybridMultilevel"/>
    <w:lvl w:ilvl="0">
      <w:lvlJc w:val="left"/>
      <w:lvlText w:val="%1"/>
      <w:numFmt w:val="lowerLetter"/>
      <w:start w:val="1"/>
    </w:lvl>
    <w:lvl w:ilvl="1">
      <w:lvlJc w:val="left"/>
      <w:lvlText w:val="(%2)"/>
      <w:numFmt w:val="lowerLetter"/>
      <w:start w:val="1"/>
    </w:lvl>
  </w:abstractNum>
  <w:abstractNum w:abstractNumId="47">
    <w:nsid w:val="43F18422"/>
    <w:multiLevelType w:val="hybridMultilevel"/>
    <w:lvl w:ilvl="0">
      <w:lvlJc w:val="left"/>
      <w:lvlText w:val="(%1)"/>
      <w:numFmt w:val="lowerLetter"/>
      <w:start w:val="9"/>
    </w:lvl>
    <w:lvl w:ilvl="1">
      <w:lvlJc w:val="left"/>
      <w:lvlText w:val="%2"/>
      <w:numFmt w:val="lowerLetter"/>
      <w:start w:val="1"/>
    </w:lvl>
  </w:abstractNum>
  <w:abstractNum w:abstractNumId="48">
    <w:nsid w:val="60EF0119"/>
    <w:multiLevelType w:val="hybridMultilevel"/>
    <w:lvl w:ilvl="0">
      <w:lvlJc w:val="left"/>
      <w:lvlText w:val="(%1)"/>
      <w:numFmt w:val="lowerLetter"/>
      <w:start w:val="2"/>
    </w:lvl>
  </w:abstractNum>
  <w:abstractNum w:abstractNumId="49">
    <w:nsid w:val="26F324BA"/>
    <w:multiLevelType w:val="hybridMultilevel"/>
    <w:lvl w:ilvl="0">
      <w:lvlJc w:val="left"/>
      <w:lvlText w:val="(%1)"/>
      <w:numFmt w:val="lowerLetter"/>
      <w:start w:val="7"/>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1"/>
    </w:lvl>
    <w:lvl w:ilvl="1">
      <w:lvlJc w:val="left"/>
      <w:lvlText w:val="(%2)"/>
      <w:numFmt w:val="lowerLetter"/>
      <w:start w:val="2"/>
    </w:lvl>
  </w:abstractNum>
  <w:abstractNum w:abstractNumId="52">
    <w:nsid w:val="7055A5F5"/>
    <w:multiLevelType w:val="hybridMultilevel"/>
    <w:lvl w:ilvl="0">
      <w:lvlJc w:val="left"/>
      <w:lvlText w:val="(%1)"/>
      <w:numFmt w:val="lowerLetter"/>
      <w:start w:val="61"/>
    </w:lvl>
    <w:lvl w:ilvl="1">
      <w:lvlJc w:val="left"/>
      <w:lvlText w:val="(%2)"/>
      <w:numFmt w:val="lowerLetter"/>
      <w:start w:val="3"/>
    </w:lvl>
  </w:abstractNum>
  <w:abstractNum w:abstractNumId="53">
    <w:nsid w:val="5FB8370B"/>
    <w:multiLevelType w:val="hybridMultilevel"/>
    <w:lvl w:ilvl="0">
      <w:lvlJc w:val="left"/>
      <w:lvlText w:val="(%1)"/>
      <w:numFmt w:val="lowerLetter"/>
      <w:start w:val="61"/>
    </w:lvl>
    <w:lvl w:ilvl="1">
      <w:lvlJc w:val="left"/>
      <w:lvlText w:val="(%2)"/>
      <w:numFmt w:val="lowerLetter"/>
      <w:start w:val="6"/>
    </w:lvl>
  </w:abstractNum>
  <w:abstractNum w:abstractNumId="54">
    <w:nsid w:val="50801EE1"/>
    <w:multiLevelType w:val="hybridMultilevel"/>
    <w:lvl w:ilvl="0">
      <w:lvlJc w:val="left"/>
      <w:lvlText w:val="(%1)"/>
      <w:numFmt w:val="lowerLetter"/>
      <w:start w:val="8"/>
    </w:lvl>
  </w:abstractNum>
  <w:abstractNum w:abstractNumId="55">
    <w:nsid w:val="488AC1A"/>
    <w:multiLevelType w:val="hybridMultilevel"/>
    <w:lvl w:ilvl="0">
      <w:lvlJc w:val="left"/>
      <w:lvlText w:val="(%1)"/>
      <w:numFmt w:val="lowerLetter"/>
      <w:start w:val="1"/>
    </w:lvl>
    <w:lvl w:ilvl="1">
      <w:lvlJc w:val="left"/>
      <w:lvlText w:val="(%2)"/>
      <w:numFmt w:val="lowerRoman"/>
      <w:start w:val="1"/>
    </w:lvl>
  </w:abstractNum>
  <w:abstractNum w:abstractNumId="56">
    <w:nsid w:val="5FB8011C"/>
    <w:multiLevelType w:val="hybridMultilevel"/>
    <w:lvl w:ilvl="0">
      <w:lvlJc w:val="left"/>
      <w:lvlText w:val="(%1)"/>
      <w:numFmt w:val="lowerRoman"/>
      <w:start w:val="6"/>
    </w:lvl>
  </w:abstractNum>
  <w:abstractNum w:abstractNumId="57">
    <w:nsid w:val="6AA78F7F"/>
    <w:multiLevelType w:val="hybridMultilevel"/>
    <w:lvl w:ilvl="0">
      <w:lvlJc w:val="left"/>
      <w:lvlText w:val="(%1)"/>
      <w:numFmt w:val="lowerRoman"/>
      <w:start w:val="14"/>
    </w:lvl>
  </w:abstractNum>
  <w:abstractNum w:abstractNumId="58">
    <w:nsid w:val="7672BD23"/>
    <w:multiLevelType w:val="hybridMultilevel"/>
    <w:lvl w:ilvl="0">
      <w:lvlJc w:val="left"/>
      <w:lvlText w:val="%1"/>
      <w:numFmt w:val="lowerLetter"/>
      <w:start w:val="1"/>
    </w:lvl>
    <w:lvl w:ilvl="1">
      <w:lvlJc w:val="left"/>
      <w:lvlText w:val="(%2)"/>
      <w:numFmt w:val="lowerRoman"/>
      <w:start w:val="19"/>
    </w:lvl>
  </w:abstractNum>
  <w:abstractNum w:abstractNumId="59">
    <w:nsid w:val="6FC75AF8"/>
    <w:multiLevelType w:val="hybridMultilevel"/>
    <w:lvl w:ilvl="0">
      <w:lvlJc w:val="left"/>
      <w:lvlText w:val="(%1)"/>
      <w:numFmt w:val="lowerLetter"/>
      <w:start w:val="2"/>
    </w:lvl>
    <w:lvl w:ilvl="1">
      <w:lvlJc w:val="left"/>
      <w:lvlText w:val="%2"/>
      <w:numFmt w:val="lowerRoman"/>
      <w:start w:val="1"/>
    </w:lvl>
  </w:abstractNum>
  <w:abstractNum w:abstractNumId="60">
    <w:nsid w:val="6A5F7029"/>
    <w:multiLevelType w:val="hybridMultilevel"/>
    <w:lvl w:ilvl="0">
      <w:lvlJc w:val="left"/>
      <w:lvlText w:val="(%1)"/>
      <w:numFmt w:val="lowerLetter"/>
      <w:start w:val="1"/>
    </w:lvl>
  </w:abstractNum>
  <w:abstractNum w:abstractNumId="61">
    <w:nsid w:val="7D5E18F8"/>
    <w:multiLevelType w:val="hybridMultilevel"/>
    <w:lvl w:ilvl="0">
      <w:lvlJc w:val="left"/>
      <w:lvlText w:val="%1"/>
      <w:numFmt w:val="lowerLetter"/>
      <w:start w:val="1"/>
    </w:lvl>
    <w:lvl w:ilvl="1">
      <w:lvlJc w:val="left"/>
      <w:lvlText w:val="(%2)"/>
      <w:numFmt w:val="lowerLetter"/>
      <w:start w:val="2"/>
    </w:lvl>
  </w:abstractNum>
  <w:abstractNum w:abstractNumId="62">
    <w:nsid w:val="5F3534A4"/>
    <w:multiLevelType w:val="hybridMultilevel"/>
    <w:lvl w:ilvl="0">
      <w:lvlJc w:val="left"/>
      <w:lvlText w:val="(%1)"/>
      <w:numFmt w:val="lowerLetter"/>
      <w:start w:val="35"/>
    </w:lvl>
    <w:lvl w:ilvl="1">
      <w:lvlJc w:val="left"/>
      <w:lvlText w:val="(%2)"/>
      <w:numFmt w:val="lowerLetter"/>
      <w:start w:val="7"/>
    </w:lvl>
  </w:abstractNum>
  <w:abstractNum w:abstractNumId="63">
    <w:nsid w:val="73A1821B"/>
    <w:multiLevelType w:val="hybridMultilevel"/>
    <w:lvl w:ilvl="0">
      <w:lvlJc w:val="left"/>
      <w:lvlText w:val="(%1)"/>
      <w:numFmt w:val="lowerLetter"/>
      <w:start w:val="8"/>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Roman"/>
      <w:start w:val="2"/>
    </w:lvl>
  </w:abstractNum>
  <w:abstractNum w:abstractNumId="66">
    <w:nsid w:val="3FA62ACA"/>
    <w:multiLevelType w:val="hybridMultilevel"/>
    <w:lvl w:ilvl="0">
      <w:lvlJc w:val="left"/>
      <w:lvlText w:val="%1"/>
      <w:numFmt w:val="lowerLetter"/>
      <w:start w:val="1"/>
    </w:lvl>
    <w:lvl w:ilvl="1">
      <w:lvlJc w:val="left"/>
      <w:lvlText w:val="(%2)"/>
      <w:numFmt w:val="lowerLetter"/>
      <w:start w:val="1"/>
    </w:lvl>
  </w:abstractNum>
  <w:abstractNum w:abstractNumId="67">
    <w:nsid w:val="14FCE74E"/>
    <w:multiLevelType w:val="hybridMultilevel"/>
    <w:lvl w:ilvl="0">
      <w:lvlJc w:val="left"/>
      <w:lvlText w:val="(%1)"/>
      <w:numFmt w:val="lowerLetter"/>
      <w:start w:val="4"/>
    </w:lvl>
    <w:lvl w:ilvl="1">
      <w:lvlJc w:val="left"/>
      <w:lvlText w:val="(%2)"/>
      <w:numFmt w:val="lowerLetter"/>
      <w:start w:val="2"/>
    </w:lvl>
  </w:abstractNum>
  <w:abstractNum w:abstractNumId="68">
    <w:nsid w:val="6A3DD3E8"/>
    <w:multiLevelType w:val="hybridMultilevel"/>
    <w:lvl w:ilvl="0">
      <w:lvlJc w:val="left"/>
      <w:lvlText w:val="(%1)"/>
      <w:numFmt w:val="lowerLetter"/>
      <w:start w:val="3"/>
    </w:lvl>
  </w:abstractNum>
  <w:abstractNum w:abstractNumId="69">
    <w:nsid w:val="71C91298"/>
    <w:multiLevelType w:val="hybridMultilevel"/>
    <w:lvl w:ilvl="0">
      <w:lvlJc w:val="left"/>
      <w:lvlText w:val="(%1)"/>
      <w:numFmt w:val="lowerLetter"/>
      <w:start w:val="1"/>
    </w:lvl>
  </w:abstractNum>
  <w:abstractNum w:abstractNumId="70">
    <w:nsid w:val="9DAF632"/>
    <w:multiLevelType w:val="hybridMultilevel"/>
    <w:lvl w:ilvl="0">
      <w:lvlJc w:val="left"/>
      <w:lvlText w:val="(%1)"/>
      <w:numFmt w:val="lowerLetter"/>
      <w:start w:val="3"/>
    </w:lvl>
  </w:abstractNum>
  <w:abstractNum w:abstractNumId="71">
    <w:nsid w:val="53299938"/>
    <w:multiLevelType w:val="hybridMultilevel"/>
    <w:lvl w:ilvl="0">
      <w:lvlJc w:val="left"/>
      <w:lvlText w:val="%1"/>
      <w:numFmt w:val="lowerLetter"/>
      <w:start w:val="1"/>
    </w:lvl>
    <w:lvl w:ilvl="1">
      <w:lvlJc w:val="left"/>
      <w:lvlText w:val="(%2)"/>
      <w:numFmt w:val="lowerLetter"/>
      <w:start w:val="1"/>
    </w:lvl>
  </w:abstractNum>
  <w:abstractNum w:abstractNumId="72">
    <w:nsid w:val="1FBFE8E0"/>
    <w:multiLevelType w:val="hybridMultilevel"/>
    <w:lvl w:ilvl="0">
      <w:lvlJc w:val="left"/>
      <w:lvlText w:val="(%1)"/>
      <w:numFmt w:val="lowerLetter"/>
      <w:start w:val="9"/>
    </w:lvl>
    <w:lvl w:ilvl="1">
      <w:lvlJc w:val="left"/>
      <w:lvlText w:val="%2"/>
      <w:numFmt w:val="lowerLetter"/>
      <w:start w:val="1"/>
    </w:lvl>
  </w:abstractNum>
  <w:abstractNum w:abstractNumId="73">
    <w:nsid w:val="5092CA79"/>
    <w:multiLevelType w:val="hybridMultilevel"/>
    <w:lvl w:ilvl="0">
      <w:lvlJc w:val="left"/>
      <w:lvlText w:val="(%1)"/>
      <w:numFmt w:val="lowerLetter"/>
      <w:start w:val="3"/>
    </w:lvl>
  </w:abstractNum>
  <w:abstractNum w:abstractNumId="74">
    <w:nsid w:val="1D545C4D"/>
    <w:multiLevelType w:val="hybridMultilevel"/>
    <w:lvl w:ilvl="0">
      <w:lvlJc w:val="left"/>
      <w:lvlText w:val="%1"/>
      <w:numFmt w:val="upperLetter"/>
      <w:start w:val="1"/>
    </w:lvl>
    <w:lvl w:ilvl="1">
      <w:lvlJc w:val="left"/>
      <w:lvlText w:val="(%2)"/>
      <w:numFmt w:val="lowerLetter"/>
      <w:start w:val="1"/>
    </w:lvl>
  </w:abstractNum>
  <w:abstractNum w:abstractNumId="75">
    <w:nsid w:val="59ADEA3D"/>
    <w:multiLevelType w:val="hybridMultilevel"/>
    <w:lvl w:ilvl="0">
      <w:lvlJc w:val="left"/>
      <w:lvlText w:val="(%1)"/>
      <w:numFmt w:val="upperLetter"/>
      <w:start w:val="2"/>
    </w:lvl>
    <w:lvl w:ilvl="1">
      <w:lvlJc w:val="left"/>
      <w:lvlText w:val="(%2)"/>
      <w:numFmt w:val="lowerLetter"/>
      <w:start w:val="2"/>
    </w:lvl>
  </w:abstractNum>
  <w:abstractNum w:abstractNumId="76">
    <w:nsid w:val="288F1A34"/>
    <w:multiLevelType w:val="hybridMultilevel"/>
    <w:lvl w:ilvl="0">
      <w:lvlJc w:val="left"/>
      <w:lvlText w:val="(%1)"/>
      <w:numFmt w:val="lowerLetter"/>
      <w:start w:val="3"/>
    </w:lvl>
  </w:abstractNum>
  <w:abstractNum w:abstractNumId="77">
    <w:nsid w:val="2A155DBC"/>
    <w:multiLevelType w:val="hybridMultilevel"/>
    <w:lvl w:ilvl="0">
      <w:lvlJc w:val="left"/>
      <w:lvlText w:val="(%1)"/>
      <w:numFmt w:val="lowerLetter"/>
      <w:start w:val="1"/>
    </w:lvl>
  </w:abstractNum>
  <w:abstractNum w:abstractNumId="78">
    <w:nsid w:val="1D9F6E5F"/>
    <w:multiLevelType w:val="hybridMultilevel"/>
    <w:lvl w:ilvl="0">
      <w:lvlJc w:val="left"/>
      <w:lvlText w:val="(%1)"/>
      <w:numFmt w:val="lowerLetter"/>
      <w:start w:val="1"/>
    </w:lvl>
  </w:abstractNum>
  <w:abstractNum w:abstractNumId="79">
    <w:nsid w:val="97E1B4E"/>
    <w:multiLevelType w:val="hybridMultilevel"/>
    <w:lvl w:ilvl="0">
      <w:lvlJc w:val="left"/>
      <w:lvlText w:val="(%1)"/>
      <w:numFmt w:val="lowerLetter"/>
      <w:start w:val="3"/>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lowerLetter"/>
      <w:start w:val="2"/>
    </w:lvl>
  </w:abstractNum>
  <w:abstractNum w:abstractNumId="82">
    <w:nsid w:val="53584BCB"/>
    <w:multiLevelType w:val="hybridMultilevel"/>
    <w:lvl w:ilvl="0">
      <w:lvlJc w:val="left"/>
      <w:lvlText w:val="(%1)"/>
      <w:numFmt w:val="lowerLetter"/>
      <w:start w:val="1"/>
    </w:lvl>
  </w:abstractNum>
  <w:abstractNum w:abstractNumId="83">
    <w:nsid w:val="415E286C"/>
    <w:multiLevelType w:val="hybridMultilevel"/>
    <w:lvl w:ilvl="0">
      <w:lvlJc w:val="left"/>
      <w:lvlText w:val="(%1)"/>
      <w:numFmt w:val="lowerLetter"/>
      <w:start w:val="2"/>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lvl w:ilvl="1">
      <w:lvlJc w:val="left"/>
      <w:lvlText w:val="(%2)"/>
      <w:numFmt w:val="lowerLetter"/>
      <w:start w:val="6"/>
    </w:lvl>
  </w:abstractNum>
  <w:abstractNum w:abstractNumId="87">
    <w:nsid w:val="5C10FE21"/>
    <w:multiLevelType w:val="hybridMultilevel"/>
    <w:lvl w:ilvl="0">
      <w:lvlJc w:val="left"/>
      <w:lvlText w:val="(%1)"/>
      <w:numFmt w:val="lowerLetter"/>
      <w:start w:val="24"/>
    </w:lvl>
    <w:lvl w:ilvl="1">
      <w:lvlJc w:val="left"/>
      <w:lvlText w:val="(%2)"/>
      <w:numFmt w:val="lowerLetter"/>
      <w:start w:val="12"/>
    </w:lvl>
  </w:abstractNum>
  <w:abstractNum w:abstractNumId="88">
    <w:nsid w:val="E7FFA2B"/>
    <w:multiLevelType w:val="hybridMultilevel"/>
    <w:lvl w:ilvl="0">
      <w:lvlJc w:val="left"/>
      <w:lvlText w:val="(%1)"/>
      <w:numFmt w:val="lowerLetter"/>
      <w:start w:val="13"/>
    </w:lvl>
  </w:abstractNum>
  <w:abstractNum w:abstractNumId="89">
    <w:nsid w:val="3C5991AA"/>
    <w:multiLevelType w:val="hybridMultilevel"/>
    <w:lvl w:ilvl="0">
      <w:lvlJc w:val="left"/>
      <w:lvlText w:val="%1"/>
      <w:numFmt w:val="lowerRoman"/>
      <w:start w:val="1"/>
    </w:lvl>
    <w:lvl w:ilvl="1">
      <w:lvlJc w:val="left"/>
      <w:lvlText w:val="(%2)"/>
      <w:numFmt w:val="lowerLetter"/>
      <w:start w:val="22"/>
    </w:lvl>
  </w:abstractNum>
  <w:abstractNum w:abstractNumId="90">
    <w:nsid w:val="4BD8591A"/>
    <w:multiLevelType w:val="hybridMultilevel"/>
    <w:lvl w:ilvl="0">
      <w:lvlJc w:val="left"/>
      <w:lvlText w:val="(%1)"/>
      <w:numFmt w:val="lowerRoman"/>
      <w:start w:val="7"/>
    </w:lvl>
    <w:lvl w:ilvl="1">
      <w:lvlJc w:val="left"/>
      <w:lvlText w:val="(%2)"/>
      <w:numFmt w:val="lowerLetter"/>
      <w:start w:val="26"/>
    </w:lvl>
  </w:abstractNum>
  <w:abstractNum w:abstractNumId="91">
    <w:nsid w:val="78DF6A55"/>
    <w:multiLevelType w:val="hybridMultilevel"/>
    <w:lvl w:ilvl="0">
      <w:lvlJc w:val="left"/>
      <w:lvlText w:val="(%1)"/>
      <w:numFmt w:val="lowerLetter"/>
      <w:start w:val="1"/>
    </w:lvl>
    <w:lvl w:ilvl="1">
      <w:lvlJc w:val="left"/>
      <w:lvlText w:val="(%2)"/>
      <w:numFmt w:val="lowerLetter"/>
      <w:start w:val="1"/>
    </w:lvl>
  </w:abstractNum>
  <w:abstractNum w:abstractNumId="92">
    <w:nsid w:val="39B7AAA2"/>
    <w:multiLevelType w:val="hybridMultilevel"/>
    <w:lvl w:ilvl="0">
      <w:lvlJc w:val="left"/>
      <w:lvlText w:val="(%1)"/>
      <w:numFmt w:val="lowerLetter"/>
      <w:start w:val="3"/>
    </w:lvl>
  </w:abstractNum>
  <w:abstractNum w:abstractNumId="93">
    <w:nsid w:val="2B0D8DBE"/>
    <w:multiLevelType w:val="hybridMultilevel"/>
    <w:lvl w:ilvl="0">
      <w:lvlJc w:val="left"/>
      <w:lvlText w:val="(%1)"/>
      <w:numFmt w:val="lowerLetter"/>
      <w:start w:val="1"/>
    </w:lvl>
  </w:abstractNum>
  <w:abstractNum w:abstractNumId="94">
    <w:nsid w:val="6C80EC70"/>
    <w:multiLevelType w:val="hybridMultilevel"/>
    <w:lvl w:ilvl="0">
      <w:lvlJc w:val="left"/>
      <w:lvlText w:val="(%1)"/>
      <w:numFmt w:val="lowerLetter"/>
      <w:start w:val="2"/>
    </w:lvl>
  </w:abstractNum>
  <w:abstractNum w:abstractNumId="95">
    <w:nsid w:val="379E21B5"/>
    <w:multiLevelType w:val="hybridMultilevel"/>
    <w:lvl w:ilvl="0">
      <w:lvlJc w:val="left"/>
      <w:lvlText w:val="(%1)"/>
      <w:numFmt w:val="lowerLetter"/>
      <w:start w:val="35"/>
    </w:lvl>
    <w:lvl w:ilvl="1">
      <w:lvlJc w:val="left"/>
      <w:lvlText w:val="(%2)"/>
      <w:numFmt w:val="lowerLetter"/>
      <w:start w:val="4"/>
    </w:lvl>
  </w:abstractNum>
  <w:abstractNum w:abstractNumId="96">
    <w:nsid w:val="69E373"/>
    <w:multiLevelType w:val="hybridMultilevel"/>
    <w:lvl w:ilvl="0">
      <w:lvlJc w:val="left"/>
      <w:lvlText w:val="(%1)"/>
      <w:numFmt w:val="lowerLetter"/>
      <w:start w:val="6"/>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Letter"/>
      <w:start w:val="3"/>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Letter"/>
      <w:start w:val="2"/>
    </w:lvl>
  </w:abstractNum>
  <w:abstractNum w:abstractNumId="101">
    <w:nsid w:val="5675FF36"/>
    <w:multiLevelType w:val="hybridMultilevel"/>
    <w:lvl w:ilvl="0">
      <w:lvlJc w:val="left"/>
      <w:lvlText w:val="(%1)"/>
      <w:numFmt w:val="lowerLetter"/>
      <w:start w:val="3"/>
    </w:lvl>
  </w:abstractNum>
  <w:abstractNum w:abstractNumId="102">
    <w:nsid w:val="3DD15094"/>
    <w:multiLevelType w:val="hybridMultilevel"/>
    <w:lvl w:ilvl="0">
      <w:lvlJc w:val="left"/>
      <w:lvlText w:val="(%1)"/>
      <w:numFmt w:val="lowerLetter"/>
      <w:start w:val="5"/>
    </w:lvl>
  </w:abstractNum>
  <w:abstractNum w:abstractNumId="103">
    <w:nsid w:val="3DB012B3"/>
    <w:multiLevelType w:val="hybridMultilevel"/>
    <w:lvl w:ilvl="0">
      <w:lvlJc w:val="left"/>
      <w:lvlText w:val="(%1)"/>
      <w:numFmt w:val="lowerLetter"/>
      <w:start w:val="6"/>
    </w:lvl>
    <w:lvl w:ilvl="1">
      <w:lvlJc w:val="left"/>
      <w:lvlText w:val="(%2)"/>
      <w:numFmt w:val="lowerRoman"/>
      <w:start w:val="1"/>
    </w:lvl>
  </w:abstractNum>
  <w:abstractNum w:abstractNumId="104">
    <w:nsid w:val="2708C9AF"/>
    <w:multiLevelType w:val="hybridMultilevel"/>
    <w:lvl w:ilvl="0">
      <w:lvlJc w:val="left"/>
      <w:lvlText w:val="(%1)"/>
      <w:numFmt w:val="lowerRoman"/>
      <w:start w:val="3"/>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upperLetter"/>
      <w:start w:val="1"/>
    </w:lvl>
    <w:lvl w:ilvl="1">
      <w:lvlJc w:val="left"/>
      <w:lvlText w:val="(%2)"/>
      <w:numFmt w:val="lowerLetter"/>
      <w:start w:val="3"/>
    </w:lvl>
  </w:abstractNum>
  <w:abstractNum w:abstractNumId="107">
    <w:nsid w:val="4F97E3E4"/>
    <w:multiLevelType w:val="hybridMultilevel"/>
    <w:lvl w:ilvl="0">
      <w:lvlJc w:val="left"/>
      <w:lvlText w:val="(%1)"/>
      <w:numFmt w:val="upperLetter"/>
      <w:start w:val="2"/>
    </w:lvl>
    <w:lvl w:ilvl="1">
      <w:lvlJc w:val="left"/>
      <w:lvlText w:val="%2"/>
      <w:numFmt w:val="lowerLetter"/>
      <w:start w:val="1"/>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Letter"/>
      <w:start w:val="1"/>
    </w:lvl>
    <w:lvl w:ilvl="1">
      <w:lvlJc w:val="left"/>
      <w:lvlText w:val="(%2)"/>
      <w:numFmt w:val="lowerLetter"/>
      <w:start w:val="2"/>
    </w:lvl>
  </w:abstractNum>
  <w:abstractNum w:abstractNumId="110">
    <w:nsid w:val="5915FF32"/>
    <w:multiLevelType w:val="hybridMultilevel"/>
    <w:lvl w:ilvl="0">
      <w:lvlJc w:val="left"/>
      <w:lvlText w:val="(%1)"/>
      <w:numFmt w:val="lowerLetter"/>
      <w:start w:val="35"/>
    </w:lvl>
    <w:lvl w:ilvl="1">
      <w:lvlJc w:val="left"/>
      <w:lvlText w:val="%2"/>
      <w:numFmt w:val="lowerLetter"/>
      <w:start w:val="1"/>
    </w:lvl>
  </w:abstractNum>
  <w:abstractNum w:abstractNumId="111">
    <w:nsid w:val="56438D15"/>
    <w:multiLevelType w:val="hybridMultilevel"/>
    <w:lvl w:ilvl="0">
      <w:lvlJc w:val="left"/>
      <w:lvlText w:val="(%1)"/>
      <w:numFmt w:val="lowerLetter"/>
      <w:start w:val="5"/>
    </w:lvl>
  </w:abstractNum>
  <w:abstractNum w:abstractNumId="112">
    <w:nsid w:val="519E3149"/>
    <w:multiLevelType w:val="hybridMultilevel"/>
    <w:lvl w:ilvl="0">
      <w:lvlJc w:val="left"/>
      <w:lvlText w:val="(%1)"/>
      <w:numFmt w:val="lowerLetter"/>
      <w:start w:val="3"/>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upperLetter"/>
      <w:start w:val="1"/>
    </w:lvl>
    <w:lvl w:ilvl="1">
      <w:lvlJc w:val="left"/>
      <w:lvlText w:val="(%2)"/>
      <w:numFmt w:val="lowerLetter"/>
      <w:start w:val="2"/>
    </w:lvl>
  </w:abstractNum>
  <w:abstractNum w:abstractNumId="115">
    <w:nsid w:val="4DF72E4E"/>
    <w:multiLevelType w:val="hybridMultilevel"/>
    <w:lvl w:ilvl="0">
      <w:lvlJc w:val="left"/>
      <w:lvlText w:val="(%1)"/>
      <w:numFmt w:val="upperLetter"/>
      <w:start w:val="2"/>
    </w:lvl>
    <w:lvl w:ilvl="1">
      <w:lvlJc w:val="left"/>
      <w:lvlText w:val="%2"/>
      <w:numFmt w:val="lowerLetter"/>
      <w:start w:val="1"/>
    </w:lvl>
  </w:abstractNum>
  <w:abstractNum w:abstractNumId="116">
    <w:nsid w:val="5046B5A9"/>
    <w:multiLevelType w:val="hybridMultilevel"/>
    <w:lvl w:ilvl="0">
      <w:lvlJc w:val="left"/>
      <w:lvlText w:val="(%1)"/>
      <w:numFmt w:val="lowerLetter"/>
      <w:start w:val="3"/>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4"/>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1)"/>
      <w:numFmt w:val="lowerLetter"/>
      <w:start w:val="1"/>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lvl w:ilvl="1">
      <w:lvlJc w:val="left"/>
      <w:lvlText w:val="(%2)"/>
      <w:numFmt w:val="lowerRoman"/>
      <w:start w:val="1"/>
    </w:lvl>
  </w:abstractNum>
  <w:abstractNum w:abstractNumId="123">
    <w:nsid w:val="5399C65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24">
    <w:nsid w:val="20EE134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5">
    <w:nsid w:val="4427069A"/>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26">
    <w:nsid w:val="B37E80A"/>
    <w:multiLevelType w:val="hybridMultilevel"/>
    <w:lvl w:ilvl="0">
      <w:lvlJc w:val="left"/>
      <w:lvlText w:val="(%1)"/>
      <w:numFmt w:val="lowerRoman"/>
      <w:start w:val="2"/>
    </w:lvl>
  </w:abstractNum>
  <w:abstractNum w:abstractNumId="127">
    <w:nsid w:val="2157F6BC"/>
    <w:multiLevelType w:val="hybridMultilevel"/>
    <w:lvl w:ilvl="0">
      <w:lvlJc w:val="left"/>
      <w:lvlText w:val="(%1)"/>
      <w:numFmt w:val="lowerLetter"/>
      <w:start w:val="1"/>
    </w:lvl>
    <w:lvl w:ilvl="1">
      <w:lvlJc w:val="left"/>
      <w:lvlText w:val="(%2)"/>
      <w:numFmt w:val="lowerRoman"/>
      <w:start w:val="1"/>
    </w:lvl>
  </w:abstractNum>
  <w:abstractNum w:abstractNumId="128">
    <w:nsid w:val="704E1DD5"/>
    <w:multiLevelType w:val="hybridMultilevel"/>
    <w:lvl w:ilvl="0">
      <w:lvlJc w:val="left"/>
      <w:lvlText w:val="(%1)"/>
      <w:numFmt w:val="lowerLetter"/>
      <w:start w:val="2"/>
    </w:lvl>
    <w:lvl w:ilvl="1">
      <w:lvlJc w:val="left"/>
      <w:lvlText w:val="(%2)"/>
      <w:numFmt w:val="lowerRoman"/>
      <w:start w:val="1"/>
    </w:lvl>
  </w:abstractNum>
  <w:abstractNum w:abstractNumId="129">
    <w:nsid w:val="57D2F10E"/>
    <w:multiLevelType w:val="hybridMultilevel"/>
    <w:lvl w:ilvl="0">
      <w:lvlJc w:val="left"/>
      <w:lvlText w:val="%1"/>
      <w:numFmt w:val="lowerLetter"/>
      <w:start w:val="1"/>
    </w:lvl>
    <w:lvl w:ilvl="1">
      <w:lvlJc w:val="left"/>
      <w:lvlText w:val="(%2)"/>
      <w:numFmt w:val="lowerLetter"/>
      <w:start w:val="3"/>
    </w:lvl>
  </w:abstractNum>
  <w:abstractNum w:abstractNumId="130">
    <w:nsid w:val="BFFAE18"/>
    <w:multiLevelType w:val="hybridMultilevel"/>
    <w:lvl w:ilvl="0">
      <w:lvlJc w:val="left"/>
      <w:lvlText w:val="(%1)"/>
      <w:numFmt w:val="lowerLetter"/>
      <w:start w:val="25"/>
    </w:lvl>
    <w:lvl w:ilvl="1">
      <w:lvlJc w:val="left"/>
      <w:lvlText w:val="(%2)"/>
      <w:numFmt w:val="lowerLetter"/>
      <w:start w:val="4"/>
    </w:lvl>
  </w:abstractNum>
  <w:abstractNum w:abstractNumId="131">
    <w:nsid w:val="E3E47A8"/>
    <w:multiLevelType w:val="hybridMultilevel"/>
    <w:lvl w:ilvl="0">
      <w:lvlJc w:val="left"/>
      <w:lvlText w:val=" "/>
      <w:numFmt w:val="bullet"/>
      <w:start w:val="1"/>
    </w:lvl>
    <w:lvl w:ilvl="1">
      <w:lvlJc w:val="left"/>
      <w:lvlText w:val=" "/>
      <w:numFmt w:val="bullet"/>
      <w:start w:val="1"/>
    </w:lvl>
  </w:abstractNum>
  <w:abstractNum w:abstractNumId="132">
    <w:nsid w:val="2E48F044"/>
    <w:multiLevelType w:val="hybridMultilevel"/>
    <w:lvl w:ilvl="0">
      <w:lvlJc w:val="left"/>
      <w:lvlText w:val=" "/>
      <w:numFmt w:val="bullet"/>
      <w:start w:val="1"/>
    </w:lvl>
    <w:lvl w:ilvl="1">
      <w:lvlJc w:val="left"/>
      <w:lvlText w:val=" "/>
      <w:numFmt w:val="bullet"/>
      <w:start w:val="1"/>
    </w:lvl>
  </w:abstractNum>
  <w:abstractNum w:abstractNumId="133">
    <w:nsid w:val="49D0FEAC"/>
    <w:multiLevelType w:val="hybridMultilevel"/>
    <w:lvl w:ilvl="0">
      <w:lvlJc w:val="left"/>
      <w:lvlText w:val="(%1)"/>
      <w:numFmt w:val="lowerLetter"/>
      <w:start w:val="1"/>
    </w:lvl>
  </w:abstractNum>
  <w:abstractNum w:abstractNumId="134">
    <w:nsid w:val="4BEE5A5B"/>
    <w:multiLevelType w:val="hybridMultilevel"/>
    <w:lvl w:ilvl="0">
      <w:lvlJc w:val="left"/>
      <w:lvlText w:val="(%1)"/>
      <w:numFmt w:val="lowerLetter"/>
      <w:start w:val="3"/>
    </w:lvl>
  </w:abstractNum>
  <w:abstractNum w:abstractNumId="135">
    <w:nsid w:val="5551B9F3"/>
    <w:multiLevelType w:val="hybridMultilevel"/>
    <w:lvl w:ilvl="0">
      <w:lvlJc w:val="left"/>
      <w:lvlText w:val="%1"/>
      <w:numFmt w:val="lowerLetter"/>
      <w:start w:val="1"/>
    </w:lvl>
    <w:lvl w:ilvl="1">
      <w:lvlJc w:val="left"/>
      <w:lvlText w:val="(%2)"/>
      <w:numFmt w:val="lowerLetter"/>
      <w:start w:val="1"/>
    </w:lvl>
  </w:abstractNum>
  <w:abstractNum w:abstractNumId="136">
    <w:nsid w:val="24F6AB8E"/>
    <w:multiLevelType w:val="hybridMultilevel"/>
    <w:lvl w:ilvl="0">
      <w:lvlJc w:val="left"/>
      <w:lvlText w:val="(%1)"/>
      <w:numFmt w:val="lowerLetter"/>
      <w:start w:val="5"/>
    </w:lvl>
    <w:lvl w:ilvl="1">
      <w:lvlJc w:val="left"/>
      <w:lvlText w:val="(%2)"/>
      <w:numFmt w:val="lowerLetter"/>
      <w:start w:val="2"/>
    </w:lvl>
  </w:abstractNum>
  <w:abstractNum w:abstractNumId="137">
    <w:nsid w:val="634C574C"/>
    <w:multiLevelType w:val="hybridMultilevel"/>
    <w:lvl w:ilvl="0">
      <w:lvlJc w:val="left"/>
      <w:lvlText w:val="(%1)"/>
      <w:numFmt w:val="lowerRoman"/>
      <w:start w:val="5"/>
    </w:lvl>
  </w:abstractNum>
  <w:abstractNum w:abstractNumId="138">
    <w:nsid w:val="24E99DD7"/>
    <w:multiLevelType w:val="hybridMultilevel"/>
    <w:lvl w:ilvl="0">
      <w:lvlJc w:val="left"/>
      <w:lvlText w:val="\ldblquot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2026-01-15T05:27:14Z</dcterms:created>
  <dcterms:modified xsi:type="dcterms:W3CDTF">2026-01-15T05:27:14Z</dcterms:modified>
</cp:coreProperties>
</file>