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COLE LECIL 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CALAVO GROWERS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CVGW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568" w:lineRule="exact"/>
        <w:rPr>
          <w:sz w:val="24"/>
          <w:szCs w:val="24"/>
          <w:color w:val="auto"/>
        </w:rPr>
      </w:pPr>
    </w:p>
    <w:p>
      <w:pPr>
        <w:sectPr>
          <w:pgSz w:w="11900" w:h="16838" w:orient="portrait"/>
          <w:cols w:equalWidth="0" w:num="3">
            <w:col w:w="3200" w:space="720"/>
            <w:col w:w="3200" w:space="615"/>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93060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PAULA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03/21/2023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33,253</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23.91</w:t>
            </w: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0000FF"/>
                <w:w w:val="91"/>
              </w:rPr>
              <w:t>373,253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16,747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25.04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390,000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$24.87 to $25.10, inclusive. The reporting person undertakes to provide to Calavo Growers, Inc., any security holder of Calavo Growers, Inc., or the staff of the Securities and Exchange Commission, upon request, full information regarding the number of shares sold at each separate price within the ranges set forth in this footnote (1)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Lecil E. Cole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03/23/2023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2023-03-23T16:27:00Z</dcterms:created>
  <dcterms:modified xsi:type="dcterms:W3CDTF">2023-03-23T16:27:00Z</dcterms:modified>
</cp:coreProperties>
</file>