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653796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563"/>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48"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11" w:lineRule="exact"/>
        <w:rPr>
          <w:sz w:val="24"/>
          <w:szCs w:val="24"/>
          <w:color w:val="auto"/>
        </w:rPr>
      </w:pPr>
    </w:p>
    <w:p>
      <w:pPr>
        <w:ind w:left="3763"/>
        <w:spacing w:after="0"/>
        <w:rPr>
          <w:sz w:val="20"/>
          <w:szCs w:val="20"/>
          <w:color w:val="auto"/>
        </w:rPr>
      </w:pPr>
      <w:r>
        <w:rPr>
          <w:rFonts w:ascii="Times New Roman" w:cs="Times New Roman" w:eastAsia="Times New Roman" w:hAnsi="Times New Roman"/>
          <w:sz w:val="13"/>
          <w:szCs w:val="13"/>
          <w:b w:val="1"/>
          <w:bCs w:val="1"/>
          <w:color w:val="auto"/>
        </w:rPr>
        <w:t>Proxy Statement Pursuant to Section 14(a) of the</w:t>
      </w:r>
    </w:p>
    <w:p>
      <w:pPr>
        <w:spacing w:after="0" w:line="4" w:lineRule="exact"/>
        <w:rPr>
          <w:sz w:val="24"/>
          <w:szCs w:val="24"/>
          <w:color w:val="auto"/>
        </w:rPr>
      </w:pPr>
    </w:p>
    <w:p>
      <w:pPr>
        <w:ind w:left="4243"/>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4" w:lineRule="exact"/>
        <w:rPr>
          <w:sz w:val="24"/>
          <w:szCs w:val="24"/>
          <w:color w:val="auto"/>
        </w:rPr>
      </w:pPr>
    </w:p>
    <w:p>
      <w:pPr>
        <w:ind w:left="4523"/>
        <w:spacing w:after="0"/>
        <w:tabs>
          <w:tab w:leader="none" w:pos="5642" w:val="left"/>
        </w:tabs>
        <w:rPr>
          <w:sz w:val="20"/>
          <w:szCs w:val="20"/>
          <w:color w:val="auto"/>
        </w:rPr>
      </w:pPr>
      <w:r>
        <w:rPr>
          <w:rFonts w:ascii="Times New Roman" w:cs="Times New Roman" w:eastAsia="Times New Roman" w:hAnsi="Times New Roman"/>
          <w:sz w:val="13"/>
          <w:szCs w:val="13"/>
          <w:b w:val="1"/>
          <w:bCs w:val="1"/>
          <w:color w:val="auto"/>
        </w:rPr>
        <w:t>(Amendment No.</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5379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
        <w:spacing w:after="0" w:line="148" w:lineRule="exact"/>
        <w:rPr>
          <w:sz w:val="20"/>
          <w:szCs w:val="20"/>
          <w:color w:val="auto"/>
        </w:rPr>
      </w:pPr>
      <w:r>
        <w:rPr>
          <w:rFonts w:ascii="Times New Roman" w:cs="Times New Roman" w:eastAsia="Times New Roman" w:hAnsi="Times New Roman"/>
          <w:sz w:val="11"/>
          <w:szCs w:val="11"/>
          <w:color w:val="auto"/>
        </w:rPr>
        <w:t xml:space="preserve">Filed by the Registrant </w:t>
      </w:r>
      <w:r>
        <w:rPr>
          <w:rFonts w:ascii="Arial Unicode MS" w:cs="Arial Unicode MS" w:eastAsia="Arial Unicode MS" w:hAnsi="Arial Unicode MS"/>
          <w:sz w:val="11"/>
          <w:szCs w:val="11"/>
          <w:color w:val="auto"/>
        </w:rPr>
        <w:t>⌧</w:t>
      </w:r>
    </w:p>
    <w:p>
      <w:pPr>
        <w:spacing w:after="0" w:line="123" w:lineRule="exact"/>
        <w:rPr>
          <w:sz w:val="24"/>
          <w:szCs w:val="24"/>
          <w:color w:val="auto"/>
        </w:rPr>
      </w:pPr>
    </w:p>
    <w:p>
      <w:pPr>
        <w:ind w:left="3"/>
        <w:spacing w:after="0" w:line="148" w:lineRule="exact"/>
        <w:rPr>
          <w:sz w:val="20"/>
          <w:szCs w:val="20"/>
          <w:color w:val="auto"/>
        </w:rPr>
      </w:pPr>
      <w:r>
        <w:rPr>
          <w:rFonts w:ascii="Times New Roman" w:cs="Times New Roman" w:eastAsia="Times New Roman" w:hAnsi="Times New Roman"/>
          <w:sz w:val="11"/>
          <w:szCs w:val="11"/>
          <w:color w:val="auto"/>
        </w:rPr>
        <w:t xml:space="preserve">Filed by a party other than the Registrant </w:t>
      </w:r>
      <w:r>
        <w:rPr>
          <w:rFonts w:ascii="Arial Unicode MS" w:cs="Arial Unicode MS" w:eastAsia="Arial Unicode MS" w:hAnsi="Arial Unicode MS"/>
          <w:sz w:val="11"/>
          <w:szCs w:val="11"/>
          <w:color w:val="auto"/>
        </w:rPr>
        <w:t>☐</w:t>
      </w:r>
    </w:p>
    <w:p>
      <w:pPr>
        <w:spacing w:after="0" w:line="400"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Check the appropriate box:</w:t>
      </w:r>
    </w:p>
    <w:p>
      <w:pPr>
        <w:spacing w:after="0" w:line="73" w:lineRule="exact"/>
        <w:rPr>
          <w:sz w:val="24"/>
          <w:szCs w:val="24"/>
          <w:color w:val="auto"/>
        </w:rPr>
      </w:pPr>
    </w:p>
    <w:p>
      <w:pPr>
        <w:ind w:left="303" w:hanging="303"/>
        <w:spacing w:after="0"/>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color w:val="auto"/>
        </w:rPr>
        <w:t>Preliminary Proxy Statement</w:t>
      </w:r>
    </w:p>
    <w:p>
      <w:pPr>
        <w:spacing w:after="0" w:line="6" w:lineRule="exact"/>
        <w:rPr>
          <w:rFonts w:ascii="Arial" w:cs="Arial" w:eastAsia="Arial" w:hAnsi="Arial"/>
          <w:sz w:val="11"/>
          <w:szCs w:val="11"/>
          <w:color w:val="auto"/>
        </w:rPr>
      </w:pPr>
    </w:p>
    <w:p>
      <w:pPr>
        <w:ind w:left="303" w:hanging="303"/>
        <w:spacing w:after="0" w:line="208" w:lineRule="auto"/>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b w:val="1"/>
          <w:bCs w:val="1"/>
          <w:color w:val="auto"/>
        </w:rPr>
        <w:t>Confidential, for Use of the Commission Only (as permitted by Rule 14a-6(e)(2))</w:t>
      </w:r>
    </w:p>
    <w:p>
      <w:pPr>
        <w:spacing w:after="0" w:line="7" w:lineRule="exact"/>
        <w:rPr>
          <w:rFonts w:ascii="Arial" w:cs="Arial" w:eastAsia="Arial" w:hAnsi="Arial"/>
          <w:sz w:val="11"/>
          <w:szCs w:val="11"/>
          <w:color w:val="auto"/>
        </w:rPr>
      </w:pPr>
    </w:p>
    <w:p>
      <w:pPr>
        <w:ind w:left="3"/>
        <w:spacing w:after="0" w:line="135" w:lineRule="exact"/>
        <w:rPr>
          <w:rFonts w:ascii="Arial" w:cs="Arial" w:eastAsia="Arial" w:hAnsi="Arial"/>
          <w:sz w:val="11"/>
          <w:szCs w:val="11"/>
          <w:color w:val="auto"/>
        </w:rPr>
      </w:pP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Definitive Proxy Statement</w:t>
      </w:r>
    </w:p>
    <w:p>
      <w:pPr>
        <w:ind w:left="303" w:hanging="303"/>
        <w:spacing w:after="0" w:line="208" w:lineRule="auto"/>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color w:val="auto"/>
        </w:rPr>
        <w:t>Definitive Additional Materials</w:t>
      </w:r>
    </w:p>
    <w:p>
      <w:pPr>
        <w:spacing w:after="0" w:line="7" w:lineRule="exact"/>
        <w:rPr>
          <w:rFonts w:ascii="Arial" w:cs="Arial" w:eastAsia="Arial" w:hAnsi="Arial"/>
          <w:sz w:val="11"/>
          <w:szCs w:val="11"/>
          <w:color w:val="auto"/>
        </w:rPr>
      </w:pPr>
    </w:p>
    <w:p>
      <w:pPr>
        <w:ind w:left="303" w:hanging="303"/>
        <w:spacing w:after="0" w:line="208" w:lineRule="auto"/>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color w:val="auto"/>
        </w:rPr>
        <w:t>Soliciting Material under Section 240.14a-12</w:t>
      </w:r>
    </w:p>
    <w:p>
      <w:pPr>
        <w:spacing w:after="0" w:line="200" w:lineRule="exact"/>
        <w:rPr>
          <w:sz w:val="24"/>
          <w:szCs w:val="24"/>
          <w:color w:val="auto"/>
        </w:rPr>
      </w:pPr>
    </w:p>
    <w:p>
      <w:pPr>
        <w:spacing w:after="0" w:line="374" w:lineRule="exact"/>
        <w:rPr>
          <w:sz w:val="24"/>
          <w:szCs w:val="24"/>
          <w:color w:val="auto"/>
        </w:rPr>
      </w:pPr>
    </w:p>
    <w:p>
      <w:pPr>
        <w:ind w:left="4003"/>
        <w:spacing w:after="0"/>
        <w:rPr>
          <w:sz w:val="20"/>
          <w:szCs w:val="20"/>
          <w:color w:val="auto"/>
        </w:rPr>
      </w:pPr>
      <w:r>
        <w:rPr>
          <w:rFonts w:ascii="Times New Roman" w:cs="Times New Roman" w:eastAsia="Times New Roman" w:hAnsi="Times New Roman"/>
          <w:sz w:val="25"/>
          <w:szCs w:val="25"/>
          <w:b w:val="1"/>
          <w:bCs w:val="1"/>
          <w:color w:val="auto"/>
        </w:rPr>
        <w:t>Calavo Growers, Inc.</w:t>
      </w:r>
    </w:p>
    <w:p>
      <w:pPr>
        <w:spacing w:after="0" w:line="37" w:lineRule="exact"/>
        <w:rPr>
          <w:sz w:val="24"/>
          <w:szCs w:val="24"/>
          <w:color w:val="auto"/>
        </w:rPr>
      </w:pPr>
    </w:p>
    <w:p>
      <w:pPr>
        <w:jc w:val="center"/>
        <w:ind w:right="-623"/>
        <w:spacing w:after="0"/>
        <w:rPr>
          <w:sz w:val="20"/>
          <w:szCs w:val="20"/>
          <w:color w:val="auto"/>
        </w:rPr>
      </w:pPr>
      <w:r>
        <w:rPr>
          <w:rFonts w:ascii="Times New Roman" w:cs="Times New Roman" w:eastAsia="Times New Roman" w:hAnsi="Times New Roman"/>
          <w:sz w:val="11"/>
          <w:szCs w:val="11"/>
          <w:b w:val="1"/>
          <w:bCs w:val="1"/>
          <w:color w:val="auto"/>
        </w:rPr>
        <w:t>(Name of Registrant as Specified In Its Charter)</w:t>
      </w:r>
    </w:p>
    <w:p>
      <w:pPr>
        <w:spacing w:after="0" w:line="56" w:lineRule="exact"/>
        <w:rPr>
          <w:sz w:val="24"/>
          <w:szCs w:val="24"/>
          <w:color w:val="auto"/>
        </w:rPr>
      </w:pPr>
    </w:p>
    <w:p>
      <w:pPr>
        <w:ind w:left="3863"/>
        <w:spacing w:after="0"/>
        <w:rPr>
          <w:sz w:val="20"/>
          <w:szCs w:val="20"/>
          <w:color w:val="auto"/>
        </w:rPr>
      </w:pPr>
      <w:r>
        <w:rPr>
          <w:rFonts w:ascii="Times New Roman" w:cs="Times New Roman" w:eastAsia="Times New Roman" w:hAnsi="Times New Roman"/>
          <w:sz w:val="8"/>
          <w:szCs w:val="8"/>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Payment of Filing Fee (Check all boxes that apply):</w:t>
      </w:r>
    </w:p>
    <w:p>
      <w:pPr>
        <w:spacing w:after="0" w:line="73" w:lineRule="exact"/>
        <w:rPr>
          <w:sz w:val="24"/>
          <w:szCs w:val="24"/>
          <w:color w:val="auto"/>
        </w:rPr>
      </w:pPr>
    </w:p>
    <w:p>
      <w:pPr>
        <w:ind w:left="383" w:hanging="383"/>
        <w:spacing w:after="0"/>
        <w:tabs>
          <w:tab w:leader="none" w:pos="383" w:val="left"/>
        </w:tabs>
        <w:numPr>
          <w:ilvl w:val="0"/>
          <w:numId w:val="2"/>
        </w:numPr>
        <w:rPr>
          <w:rFonts w:ascii="Arial" w:cs="Arial" w:eastAsia="Arial" w:hAnsi="Arial"/>
          <w:sz w:val="11"/>
          <w:szCs w:val="11"/>
          <w:color w:val="auto"/>
        </w:rPr>
      </w:pPr>
      <w:r>
        <w:rPr>
          <w:rFonts w:ascii="Times New Roman" w:cs="Times New Roman" w:eastAsia="Times New Roman" w:hAnsi="Times New Roman"/>
          <w:sz w:val="11"/>
          <w:szCs w:val="11"/>
          <w:color w:val="auto"/>
        </w:rPr>
        <w:t>No fee required</w:t>
      </w:r>
    </w:p>
    <w:p>
      <w:pPr>
        <w:ind w:left="383" w:hanging="383"/>
        <w:spacing w:after="0" w:line="219" w:lineRule="auto"/>
        <w:tabs>
          <w:tab w:leader="none" w:pos="383" w:val="left"/>
        </w:tabs>
        <w:numPr>
          <w:ilvl w:val="0"/>
          <w:numId w:val="3"/>
        </w:numPr>
        <w:rPr>
          <w:rFonts w:ascii="Arial" w:cs="Arial" w:eastAsia="Arial" w:hAnsi="Arial"/>
          <w:sz w:val="11"/>
          <w:szCs w:val="11"/>
          <w:color w:val="auto"/>
        </w:rPr>
      </w:pPr>
      <w:r>
        <w:rPr>
          <w:rFonts w:ascii="Times New Roman" w:cs="Times New Roman" w:eastAsia="Times New Roman" w:hAnsi="Times New Roman"/>
          <w:sz w:val="11"/>
          <w:szCs w:val="11"/>
          <w:color w:val="auto"/>
        </w:rPr>
        <w:t>Fee paid previously with preliminary materials.</w:t>
      </w:r>
    </w:p>
    <w:p>
      <w:pPr>
        <w:spacing w:after="0" w:line="7" w:lineRule="exact"/>
        <w:rPr>
          <w:rFonts w:ascii="Arial" w:cs="Arial" w:eastAsia="Arial" w:hAnsi="Arial"/>
          <w:sz w:val="11"/>
          <w:szCs w:val="11"/>
          <w:color w:val="auto"/>
        </w:rPr>
      </w:pPr>
    </w:p>
    <w:p>
      <w:pPr>
        <w:ind w:left="383" w:hanging="383"/>
        <w:spacing w:after="0" w:line="208" w:lineRule="auto"/>
        <w:tabs>
          <w:tab w:leader="none" w:pos="383" w:val="left"/>
        </w:tabs>
        <w:numPr>
          <w:ilvl w:val="0"/>
          <w:numId w:val="3"/>
        </w:numPr>
        <w:rPr>
          <w:rFonts w:ascii="Arial" w:cs="Arial" w:eastAsia="Arial" w:hAnsi="Arial"/>
          <w:sz w:val="11"/>
          <w:szCs w:val="11"/>
          <w:color w:val="auto"/>
        </w:rPr>
      </w:pPr>
      <w:r>
        <w:rPr>
          <w:rFonts w:ascii="Times New Roman" w:cs="Times New Roman" w:eastAsia="Times New Roman" w:hAnsi="Times New Roman"/>
          <w:sz w:val="11"/>
          <w:szCs w:val="1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53796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796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65379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ectPr>
          <w:pgSz w:w="11900" w:h="16838" w:orient="portrait"/>
          <w:cols w:equalWidth="0" w:num="1">
            <w:col w:w="9662"/>
          </w:cols>
          <w:pgMar w:left="797" w:top="489" w:right="1440"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427990</wp:posOffset>
            </wp:positionV>
            <wp:extent cx="651510" cy="64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LETTER TO OUR SHAREHOLDERS: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To Our Shareholders:</w:t>
      </w:r>
    </w:p>
    <w:p>
      <w:pPr>
        <w:spacing w:after="0" w:line="154" w:lineRule="exact"/>
        <w:rPr>
          <w:sz w:val="20"/>
          <w:szCs w:val="20"/>
          <w:color w:val="auto"/>
        </w:rPr>
      </w:pPr>
    </w:p>
    <w:p>
      <w:pPr>
        <w:ind w:left="20" w:right="119"/>
        <w:spacing w:after="0" w:line="265" w:lineRule="auto"/>
        <w:rPr>
          <w:sz w:val="20"/>
          <w:szCs w:val="20"/>
          <w:color w:val="auto"/>
        </w:rPr>
      </w:pPr>
      <w:r>
        <w:rPr>
          <w:rFonts w:ascii="Times New Roman" w:cs="Times New Roman" w:eastAsia="Times New Roman" w:hAnsi="Times New Roman"/>
          <w:sz w:val="12"/>
          <w:szCs w:val="12"/>
          <w:color w:val="auto"/>
        </w:rPr>
        <w:t>In our 2021 annual letter to shareholders, we wrote of the leadership changes that had taken place at Calavo Growers, including our new roles as Chairman of the Board of Directors and President and Chief Executive Officer. The past year brought market volatility and new business challenges, but we made significant progress stabilizing operations, increasing governance and preparing the organization for growth. Below is a recap of the more significant foundational improvements achieved in fiscal 2022:</w:t>
      </w:r>
    </w:p>
    <w:p>
      <w:pPr>
        <w:spacing w:after="0" w:line="119" w:lineRule="exact"/>
        <w:rPr>
          <w:sz w:val="20"/>
          <w:szCs w:val="20"/>
          <w:color w:val="auto"/>
        </w:rPr>
      </w:pPr>
    </w:p>
    <w:p>
      <w:pPr>
        <w:jc w:val="both"/>
        <w:ind w:left="200" w:right="119"/>
        <w:spacing w:after="0" w:line="300" w:lineRule="auto"/>
        <w:rPr>
          <w:sz w:val="20"/>
          <w:szCs w:val="20"/>
          <w:color w:val="auto"/>
        </w:rPr>
      </w:pPr>
      <w:r>
        <w:rPr>
          <w:rFonts w:ascii="Times New Roman" w:cs="Times New Roman" w:eastAsia="Times New Roman" w:hAnsi="Times New Roman"/>
          <w:sz w:val="11"/>
          <w:szCs w:val="11"/>
          <w:color w:val="auto"/>
        </w:rPr>
        <w:t>In the area of governance, we underwent a Board refreshment that will result in a planned reduction in the size of our Board to nine directors, which includes the recent appointment of our CEO to the Board. We also were pleased to welcome Adriana G. Mendizabal, Group President for Stanley Black &amp; Decker Latin America, as an independent director in 2022. We believe that the reduced size of our Board and its composition of diverse experience and leadership across industries and functions will serve the company well as we grow.</w:t>
      </w:r>
    </w:p>
    <w:p>
      <w:pPr>
        <w:spacing w:after="0" w:line="129" w:lineRule="exact"/>
        <w:rPr>
          <w:sz w:val="20"/>
          <w:szCs w:val="20"/>
          <w:color w:val="auto"/>
        </w:rPr>
      </w:pPr>
    </w:p>
    <w:p>
      <w:pPr>
        <w:ind w:left="200" w:right="79"/>
        <w:spacing w:after="0" w:line="257" w:lineRule="auto"/>
        <w:rPr>
          <w:sz w:val="20"/>
          <w:szCs w:val="20"/>
          <w:color w:val="auto"/>
        </w:rPr>
      </w:pPr>
      <w:r>
        <w:rPr>
          <w:rFonts w:ascii="Times New Roman" w:cs="Times New Roman" w:eastAsia="Times New Roman" w:hAnsi="Times New Roman"/>
          <w:sz w:val="12"/>
          <w:szCs w:val="12"/>
          <w:color w:val="auto"/>
        </w:rPr>
        <w:t>We reorganized the business into two segments, Grown and Prepared, to better serve customers, improve efficiencies and ultimately to drive growth. Both the Grown and Prepared segments contributed to higher earnings in fiscal 2022. Gross profit from our Grown segment increased as avocado volume declines were more than offset by higher gross profit per case despite volatile market pricing that ranged from under $30 per case to over $70. Prepared segment gross profit more than doubled from the prior year as improvements in the fresh-cut division from pricing, yield enhancements, transportation savings and labor efficiencies more than compensated for lower gross profit in the guacamole division due to input cost pressure. Despite inflation and volatility, Calavo grew gross profit across both segments and adjusted EBITDA for fiscal 2022.</w:t>
      </w:r>
    </w:p>
    <w:p>
      <w:pPr>
        <w:spacing w:after="0" w:line="152" w:lineRule="exact"/>
        <w:rPr>
          <w:sz w:val="20"/>
          <w:szCs w:val="20"/>
          <w:color w:val="auto"/>
        </w:rPr>
      </w:pPr>
    </w:p>
    <w:p>
      <w:pPr>
        <w:ind w:left="200" w:right="39"/>
        <w:spacing w:after="0" w:line="284" w:lineRule="auto"/>
        <w:rPr>
          <w:sz w:val="20"/>
          <w:szCs w:val="20"/>
          <w:color w:val="auto"/>
        </w:rPr>
      </w:pPr>
      <w:r>
        <w:rPr>
          <w:rFonts w:ascii="Times New Roman" w:cs="Times New Roman" w:eastAsia="Times New Roman" w:hAnsi="Times New Roman"/>
          <w:sz w:val="11"/>
          <w:szCs w:val="11"/>
          <w:color w:val="auto"/>
        </w:rPr>
        <w:t>We established our new leadership team in 2022. We hired Danny Dumas as Senior Vice President Calavo Grown and Helen Kurtz as Senior Vice President Calavo Prepared. In addition, Shawn Munsell joined Calavo as Chief Financial Officer. These three exceptional new leaders have the knowledge and experience to take Calavo from a company that is improving to a company that is growing. Importantly, for both good governance and performance, each of our Named Executive Officers (“NEOs”) have compensation packages where at least 50% of targeted total compensation is performance and/or stock based. Furthermore, more than 70 of the top leaders in the company now have stock-based elements to their compensation plan to align with the objectives of our shareholders. Lastly, to further align NEO and shareholder interests, Calavo increased its stock ownership guidelines for NEOs and Board members. The purpose of these compensation changes is to ensure our Board and leadership team have the same goals as shareholders – to maximize Calavo’s value.</w:t>
      </w:r>
    </w:p>
    <w:p>
      <w:pPr>
        <w:spacing w:after="0" w:line="110" w:lineRule="exact"/>
        <w:rPr>
          <w:sz w:val="20"/>
          <w:szCs w:val="20"/>
          <w:color w:val="auto"/>
        </w:rPr>
      </w:pPr>
    </w:p>
    <w:p>
      <w:pPr>
        <w:ind w:left="200" w:right="179"/>
        <w:spacing w:after="0" w:line="260" w:lineRule="auto"/>
        <w:rPr>
          <w:sz w:val="20"/>
          <w:szCs w:val="20"/>
          <w:color w:val="auto"/>
        </w:rPr>
      </w:pPr>
      <w:r>
        <w:rPr>
          <w:rFonts w:ascii="Times New Roman" w:cs="Times New Roman" w:eastAsia="Times New Roman" w:hAnsi="Times New Roman"/>
          <w:sz w:val="12"/>
          <w:szCs w:val="12"/>
          <w:color w:val="auto"/>
        </w:rPr>
        <w:t>Project Uno established the mindset of continuous improvement throughout our organization and led to $46 million in benefits in fiscal 2022 from pricing initiatives, SKU rationalization, unified procurement, labor efficiencies, freight consolidation and administrative synergies. Since its inception, Project Uno has systematically focused on improving profitability. The practices and mentality arising from Project Uno have been integrated into our daily operations and will live on, not as a project but as a way of doing business for long term success.</w:t>
      </w:r>
    </w:p>
    <w:p>
      <w:pPr>
        <w:spacing w:after="0" w:line="120" w:lineRule="exact"/>
        <w:rPr>
          <w:sz w:val="20"/>
          <w:szCs w:val="20"/>
          <w:color w:val="auto"/>
        </w:rPr>
      </w:pPr>
    </w:p>
    <w:p>
      <w:pPr>
        <w:ind w:left="200" w:right="159"/>
        <w:spacing w:after="0" w:line="283" w:lineRule="auto"/>
        <w:rPr>
          <w:sz w:val="20"/>
          <w:szCs w:val="20"/>
          <w:color w:val="auto"/>
        </w:rPr>
      </w:pPr>
      <w:r>
        <w:rPr>
          <w:rFonts w:ascii="Times New Roman" w:cs="Times New Roman" w:eastAsia="Times New Roman" w:hAnsi="Times New Roman"/>
          <w:sz w:val="12"/>
          <w:szCs w:val="12"/>
          <w:color w:val="auto"/>
        </w:rPr>
        <w:t xml:space="preserve">To reflect our reenergized company, we refreshed the Calavo brand including the company logo, brand personality and tagline – “The Family of </w:t>
      </w:r>
      <w:r>
        <w:rPr>
          <w:rFonts w:ascii="Times New Roman" w:cs="Times New Roman" w:eastAsia="Times New Roman" w:hAnsi="Times New Roman"/>
          <w:sz w:val="12"/>
          <w:szCs w:val="12"/>
          <w:i w:val="1"/>
          <w:iCs w:val="1"/>
          <w:color w:val="auto"/>
        </w:rPr>
        <w:t>fresh</w:t>
      </w:r>
      <w:r>
        <w:rPr>
          <w:rFonts w:ascii="Times New Roman" w:cs="Times New Roman" w:eastAsia="Times New Roman" w:hAnsi="Times New Roman"/>
          <w:sz w:val="12"/>
          <w:szCs w:val="12"/>
          <w:color w:val="auto"/>
        </w:rPr>
        <w:t>.” The new look and feel of the brand were thoughtfully designed to signal an evolution of our brand’s legacy while we look to the future as an innovator in our industry.</w:t>
      </w:r>
    </w:p>
    <w:p>
      <w:pPr>
        <w:spacing w:after="0" w:line="163" w:lineRule="exact"/>
        <w:rPr>
          <w:sz w:val="20"/>
          <w:szCs w:val="20"/>
          <w:color w:val="auto"/>
        </w:rPr>
      </w:pPr>
    </w:p>
    <w:p>
      <w:pPr>
        <w:ind w:left="200" w:right="239"/>
        <w:spacing w:after="0" w:line="279" w:lineRule="auto"/>
        <w:rPr>
          <w:sz w:val="20"/>
          <w:szCs w:val="20"/>
          <w:color w:val="auto"/>
        </w:rPr>
      </w:pPr>
      <w:r>
        <w:rPr>
          <w:rFonts w:ascii="Times New Roman" w:cs="Times New Roman" w:eastAsia="Times New Roman" w:hAnsi="Times New Roman"/>
          <w:sz w:val="12"/>
          <w:szCs w:val="12"/>
          <w:color w:val="auto"/>
        </w:rPr>
        <w:t>Also in fiscal 2022, we published our fourth annual Sustainability Report where we introduced a new sustainability strategy and 2030 goals built on four pillars of Climate Action, Social Responsibility, Sustainable Agriculture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214630</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right="139"/>
        <w:spacing w:after="0" w:line="265" w:lineRule="auto"/>
        <w:rPr>
          <w:sz w:val="20"/>
          <w:szCs w:val="20"/>
          <w:color w:val="auto"/>
        </w:rPr>
      </w:pPr>
      <w:r>
        <w:rPr>
          <w:rFonts w:ascii="Times New Roman" w:cs="Times New Roman" w:eastAsia="Times New Roman" w:hAnsi="Times New Roman"/>
          <w:sz w:val="12"/>
          <w:szCs w:val="12"/>
          <w:color w:val="auto"/>
        </w:rPr>
        <w:t>Sound Governance. Our sustainability strategy focuses our efforts on the environmental, social and governance (ESG) issues that matter most to our stakeholders. You can find these goals on our website. Importantly, our operations are intrinsically linked to the natural environment and the communities we serve; therefore, it is very easy for us to link sound business decisions and investments to sound ESG policies.</w:t>
      </w:r>
    </w:p>
    <w:p>
      <w:pPr>
        <w:spacing w:after="0" w:line="146" w:lineRule="exact"/>
        <w:rPr>
          <w:sz w:val="20"/>
          <w:szCs w:val="20"/>
          <w:color w:val="auto"/>
        </w:rPr>
      </w:pPr>
    </w:p>
    <w:p>
      <w:pPr>
        <w:ind w:left="20" w:right="159"/>
        <w:spacing w:after="0" w:line="265" w:lineRule="auto"/>
        <w:rPr>
          <w:sz w:val="20"/>
          <w:szCs w:val="20"/>
          <w:color w:val="auto"/>
        </w:rPr>
      </w:pPr>
      <w:r>
        <w:rPr>
          <w:rFonts w:ascii="Times New Roman" w:cs="Times New Roman" w:eastAsia="Times New Roman" w:hAnsi="Times New Roman"/>
          <w:sz w:val="12"/>
          <w:szCs w:val="12"/>
          <w:color w:val="auto"/>
        </w:rPr>
        <w:t>In conclusion, it has been a productive year at Calavo as we built the platform for growth and established foundational processes that will allow us to scale efficiently and effectively. More changes are underway as we develop and implement our long-term strategic plan. While fiscal 2023 will surely bring new challenges, we are confident our team, our strategy, and our infrastructure are aligned with shareholder interests and focused on generating long-term shareholder value.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Sincerely,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 Steven Hollister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Steven Hollister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Chairman of the Board</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 Brian Kocher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Brian Kocher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511175</wp:posOffset>
            </wp:positionV>
            <wp:extent cx="5692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427990</wp:posOffset>
            </wp:positionV>
            <wp:extent cx="651510" cy="640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NOTICE OF ANNUAL MEETING OF SHAREHOLDERS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TO BE HELD ON APRIL 26, 2023</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TO THE SHAREHOLDERS OF CALAVO GROWERS, INC.:</w:t>
      </w:r>
    </w:p>
    <w:p>
      <w:pPr>
        <w:spacing w:after="0" w:line="150" w:lineRule="exact"/>
        <w:rPr>
          <w:sz w:val="20"/>
          <w:szCs w:val="20"/>
          <w:color w:val="auto"/>
        </w:rPr>
      </w:pPr>
    </w:p>
    <w:p>
      <w:pPr>
        <w:ind w:left="20" w:right="299"/>
        <w:spacing w:after="0" w:line="286" w:lineRule="auto"/>
        <w:rPr>
          <w:sz w:val="20"/>
          <w:szCs w:val="20"/>
          <w:color w:val="auto"/>
        </w:rPr>
      </w:pPr>
      <w:r>
        <w:rPr>
          <w:rFonts w:ascii="Times New Roman" w:cs="Times New Roman" w:eastAsia="Times New Roman" w:hAnsi="Times New Roman"/>
          <w:sz w:val="12"/>
          <w:szCs w:val="12"/>
          <w:b w:val="1"/>
          <w:bCs w:val="1"/>
          <w:color w:val="auto"/>
        </w:rPr>
        <w:t>We are pleased to invite you to attend the 2023 Annual Meeting of Shareholders of Calavo Growers, Inc. The meeting will be held on April 26, 2023 at 15765 W. Telegraph Road, Santa Paula, California 93060 and virtually at 1:00 p.m. Pacific Time for the following purposes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the nine directors named in the accompanying proxy statement, each for a term of one year;</w:t>
      </w:r>
    </w:p>
    <w:p>
      <w:pPr>
        <w:spacing w:after="0" w:line="16" w:lineRule="exact"/>
        <w:rPr>
          <w:rFonts w:ascii="Times New Roman" w:cs="Times New Roman" w:eastAsia="Times New Roman" w:hAnsi="Times New Roman"/>
          <w:sz w:val="12"/>
          <w:szCs w:val="12"/>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our independent registered public accounting firm for fiscal year 2023;</w:t>
      </w:r>
    </w:p>
    <w:p>
      <w:pPr>
        <w:spacing w:after="0" w:line="6" w:lineRule="exact"/>
        <w:rPr>
          <w:rFonts w:ascii="Times New Roman" w:cs="Times New Roman" w:eastAsia="Times New Roman" w:hAnsi="Times New Roman"/>
          <w:sz w:val="12"/>
          <w:szCs w:val="12"/>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conduct an advisory vote on executive compensation;</w:t>
      </w:r>
    </w:p>
    <w:p>
      <w:pPr>
        <w:spacing w:after="0" w:line="6" w:lineRule="exact"/>
        <w:rPr>
          <w:rFonts w:ascii="Times New Roman" w:cs="Times New Roman" w:eastAsia="Times New Roman" w:hAnsi="Times New Roman"/>
          <w:sz w:val="12"/>
          <w:szCs w:val="12"/>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foregoing items of business are more fully described in the proxy statement accompanying this Notice.</w:t>
      </w:r>
    </w:p>
    <w:p>
      <w:pPr>
        <w:spacing w:after="0" w:line="146" w:lineRule="exact"/>
        <w:rPr>
          <w:sz w:val="20"/>
          <w:szCs w:val="20"/>
          <w:color w:val="auto"/>
        </w:rPr>
      </w:pPr>
    </w:p>
    <w:p>
      <w:pPr>
        <w:ind w:left="60" w:right="2159" w:hanging="29"/>
        <w:spacing w:after="0" w:line="286" w:lineRule="auto"/>
        <w:rPr>
          <w:sz w:val="20"/>
          <w:szCs w:val="20"/>
          <w:color w:val="auto"/>
        </w:rPr>
      </w:pPr>
      <w:r>
        <w:rPr>
          <w:rFonts w:ascii="Times New Roman" w:cs="Times New Roman" w:eastAsia="Times New Roman" w:hAnsi="Times New Roman"/>
          <w:sz w:val="12"/>
          <w:szCs w:val="12"/>
          <w:b w:val="1"/>
          <w:bCs w:val="1"/>
          <w:color w:val="auto"/>
        </w:rPr>
        <w:t>We will provide our shareholders with the opportunity to attend our 2023 Annual Meeting of Shareholders via live webcast by visiting www.virtualshareholdermeeting.com/CVGW2023 at the designated meeting time.</w:t>
      </w:r>
    </w:p>
    <w:p>
      <w:pPr>
        <w:spacing w:after="0" w:line="107"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Instead of mailing a printed copy of our proxy materials to all our shareholders, we provide access to these materials via the internet. This reduces the amount of paper necessary to produce these materials as well as the costs associated with mailing these materials to all shareholders. Accordingly, on or about March 6, 2023, we will begin mailing a Notice of Internet Availability of Proxy Materials to all shareholders of record on our books at the close of business on February 27, 2023, the record date for the 2023 Annual Meeting of Shareholders (the “Record Date”), and will post our proxy materials on the website referenced in the notice. As more fully described in the notice, shareholders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125" w:lineRule="exact"/>
        <w:rPr>
          <w:sz w:val="20"/>
          <w:szCs w:val="20"/>
          <w:color w:val="auto"/>
        </w:rPr>
      </w:pPr>
    </w:p>
    <w:p>
      <w:pPr>
        <w:ind w:left="20" w:right="199"/>
        <w:spacing w:after="0" w:line="260" w:lineRule="auto"/>
        <w:rPr>
          <w:sz w:val="20"/>
          <w:szCs w:val="20"/>
          <w:color w:val="auto"/>
        </w:rPr>
      </w:pPr>
      <w:r>
        <w:rPr>
          <w:rFonts w:ascii="Times New Roman" w:cs="Times New Roman" w:eastAsia="Times New Roman" w:hAnsi="Times New Roman"/>
          <w:sz w:val="12"/>
          <w:szCs w:val="12"/>
          <w:color w:val="auto"/>
        </w:rPr>
        <w:t>The close of business on February 27, 2023 has been fixed as the Record Date for the determination of shareholders entitled to notice of and to vote at this Annual Meeting and at any adjournment or postponement thereof. All shareholders are cordially invited to attend the Annual Meeting or to do so virtually. If you plan to attend the Annual Meeting virtually or in person and you wish to vote your shares personally, you may do so at any time before the proxy is voted. We request that you indicate your intent to attend in person by emailing 2023proxy@calavo.com.</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By order of the Board of Directors,</w:t>
            </w:r>
          </w:p>
        </w:tc>
        <w:tc>
          <w:tcPr>
            <w:tcW w:w="5980" w:type="dxa"/>
            <w:vAlign w:val="bottom"/>
          </w:tcPr>
          <w:p>
            <w:pPr>
              <w:spacing w:after="0"/>
              <w:rPr>
                <w:sz w:val="13"/>
                <w:szCs w:val="13"/>
                <w:color w:val="auto"/>
              </w:rPr>
            </w:pPr>
          </w:p>
        </w:tc>
      </w:tr>
      <w:tr>
        <w:trPr>
          <w:trHeight w:val="288"/>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/s/ Brian Kocher</w:t>
            </w:r>
          </w:p>
        </w:tc>
        <w:tc>
          <w:tcPr>
            <w:tcW w:w="59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/s/ Steven Hollister</w:t>
            </w:r>
          </w:p>
        </w:tc>
      </w:tr>
      <w:tr>
        <w:trPr>
          <w:trHeight w:val="275"/>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59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Steven Hollister</w:t>
            </w:r>
          </w:p>
        </w:tc>
      </w:tr>
      <w:tr>
        <w:trPr>
          <w:trHeight w:val="157"/>
        </w:trPr>
        <w:tc>
          <w:tcPr>
            <w:tcW w:w="29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5980" w:type="dxa"/>
            <w:vAlign w:val="bottom"/>
          </w:tcPr>
          <w:p>
            <w:pPr>
              <w:ind w:left="1260"/>
              <w:spacing w:after="0"/>
              <w:rPr>
                <w:sz w:val="20"/>
                <w:szCs w:val="20"/>
                <w:color w:val="auto"/>
              </w:rPr>
            </w:pPr>
            <w:r>
              <w:rPr>
                <w:rFonts w:ascii="Times New Roman" w:cs="Times New Roman" w:eastAsia="Times New Roman" w:hAnsi="Times New Roman"/>
                <w:sz w:val="12"/>
                <w:szCs w:val="12"/>
                <w:i w:val="1"/>
                <w:iCs w:val="1"/>
                <w:color w:val="auto"/>
              </w:rPr>
              <w:t>Chairman of the Board of Directors</w:t>
            </w:r>
          </w:p>
        </w:tc>
      </w:tr>
      <w:tr>
        <w:trPr>
          <w:trHeight w:val="277"/>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February 28, 2023</w:t>
            </w:r>
          </w:p>
        </w:tc>
        <w:tc>
          <w:tcPr>
            <w:tcW w:w="5980" w:type="dxa"/>
            <w:vAlign w:val="bottom"/>
          </w:tcPr>
          <w:p>
            <w:pPr>
              <w:spacing w:after="0"/>
              <w:rPr>
                <w:sz w:val="24"/>
                <w:szCs w:val="24"/>
                <w:color w:val="auto"/>
              </w:rPr>
            </w:pPr>
          </w:p>
        </w:tc>
      </w:t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Santa Paula, California</w:t>
            </w:r>
          </w:p>
        </w:tc>
        <w:tc>
          <w:tcPr>
            <w:tcW w:w="5980" w:type="dxa"/>
            <w:vAlign w:val="bottom"/>
          </w:tcPr>
          <w:p>
            <w:pPr>
              <w:spacing w:after="0"/>
              <w:rPr>
                <w:sz w:val="13"/>
                <w:szCs w:val="13"/>
                <w:color w:val="auto"/>
              </w:rPr>
            </w:pPr>
          </w:p>
        </w:tc>
      </w:tr>
      <w:tr>
        <w:trPr>
          <w:trHeight w:val="655"/>
        </w:trPr>
        <w:tc>
          <w:tcPr>
            <w:tcW w:w="29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sectPr>
      </w:pPr>
    </w:p>
    <w:bookmarkStart w:id="4" w:name="page5"/>
    <w:bookmarkEnd w:id="4"/>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0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799"/>
        </w:trPr>
        <w:tc>
          <w:tcPr>
            <w:tcW w:w="8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60" w:type="dxa"/>
            <w:vAlign w:val="bottom"/>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1220" w:type="dxa"/>
            <w:vAlign w:val="bottom"/>
          </w:tcPr>
          <w:p>
            <w:pPr>
              <w:spacing w:after="0"/>
              <w:rPr>
                <w:sz w:val="24"/>
                <w:szCs w:val="24"/>
                <w:color w:val="auto"/>
              </w:rPr>
            </w:pPr>
          </w:p>
        </w:tc>
      </w:tr>
      <w:tr>
        <w:trPr>
          <w:trHeight w:val="261"/>
        </w:trPr>
        <w:tc>
          <w:tcPr>
            <w:tcW w:w="7740" w:type="dxa"/>
            <w:vAlign w:val="bottom"/>
            <w:gridSpan w:val="12"/>
          </w:tcPr>
          <w:p>
            <w:pPr>
              <w:spacing w:after="0"/>
              <w:rPr>
                <w:sz w:val="20"/>
                <w:szCs w:val="20"/>
                <w:color w:val="auto"/>
              </w:rPr>
            </w:pPr>
            <w:r>
              <w:rPr>
                <w:rFonts w:ascii="Times New Roman" w:cs="Times New Roman" w:eastAsia="Times New Roman" w:hAnsi="Times New Roman"/>
                <w:sz w:val="12"/>
                <w:szCs w:val="12"/>
                <w:b w:val="1"/>
                <w:bCs w:val="1"/>
                <w:color w:val="0000EE"/>
              </w:rPr>
              <w:t>QUESTIONS AND ANSWERS ABOUT THE PROXY MATERIALS AND THE ANNUAL MEETING</w:t>
            </w:r>
          </w:p>
        </w:tc>
        <w:tc>
          <w:tcPr>
            <w:tcW w:w="122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6</w:t>
            </w:r>
          </w:p>
        </w:tc>
      </w:tr>
      <w:tr>
        <w:trPr>
          <w:trHeight w:val="268"/>
        </w:trPr>
        <w:tc>
          <w:tcPr>
            <w:tcW w:w="3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b w:val="1"/>
                <w:bCs w:val="1"/>
                <w:color w:val="0000EE"/>
                <w:w w:val="99"/>
              </w:rPr>
              <w:t>CORPORATE GOVERNANCE PRINCIPLES AND BOARD MATTERS</w:t>
            </w:r>
          </w:p>
        </w:tc>
        <w:tc>
          <w:tcPr>
            <w:tcW w:w="1500" w:type="dxa"/>
            <w:vAlign w:val="bottom"/>
            <w:tcBorders>
              <w:top w:val="single" w:sz="8" w:color="0000EE"/>
            </w:tcBorders>
            <w:gridSpan w:val="3"/>
          </w:tcPr>
          <w:p>
            <w:pPr>
              <w:spacing w:after="0"/>
              <w:rPr>
                <w:sz w:val="23"/>
                <w:szCs w:val="23"/>
                <w:color w:val="auto"/>
              </w:rPr>
            </w:pPr>
          </w:p>
        </w:tc>
        <w:tc>
          <w:tcPr>
            <w:tcW w:w="2460" w:type="dxa"/>
            <w:vAlign w:val="bottom"/>
            <w:gridSpan w:val="2"/>
          </w:tcPr>
          <w:p>
            <w:pPr>
              <w:spacing w:after="0"/>
              <w:rPr>
                <w:sz w:val="23"/>
                <w:szCs w:val="23"/>
                <w:color w:val="auto"/>
              </w:rPr>
            </w:pP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14</w:t>
            </w:r>
          </w:p>
        </w:tc>
      </w:tr>
      <w:tr>
        <w:trPr>
          <w:trHeight w:val="268"/>
        </w:trPr>
        <w:tc>
          <w:tcPr>
            <w:tcW w:w="10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b w:val="1"/>
                <w:bCs w:val="1"/>
                <w:color w:val="0000EE"/>
                <w:w w:val="99"/>
              </w:rPr>
              <w:t>PROPOSAL NO. 1</w:t>
            </w:r>
          </w:p>
        </w:tc>
        <w:tc>
          <w:tcPr>
            <w:tcW w:w="168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0000EE"/>
                <w:w w:val="98"/>
              </w:rPr>
              <w:t>– ELECTION OF DIRECTORS</w:t>
            </w:r>
          </w:p>
        </w:tc>
        <w:tc>
          <w:tcPr>
            <w:tcW w:w="5060" w:type="dxa"/>
            <w:vAlign w:val="bottom"/>
            <w:gridSpan w:val="6"/>
          </w:tcPr>
          <w:p>
            <w:pPr>
              <w:spacing w:after="0"/>
              <w:rPr>
                <w:sz w:val="23"/>
                <w:szCs w:val="23"/>
                <w:color w:val="auto"/>
              </w:rPr>
            </w:pP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23</w:t>
            </w:r>
          </w:p>
        </w:tc>
      </w:tr>
      <w:tr>
        <w:trPr>
          <w:trHeight w:val="268"/>
        </w:trPr>
        <w:tc>
          <w:tcPr>
            <w:tcW w:w="1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0000EE"/>
                <w:w w:val="99"/>
              </w:rPr>
              <w:t>PROPOSAL NO. 2</w:t>
            </w:r>
          </w:p>
        </w:tc>
        <w:tc>
          <w:tcPr>
            <w:tcW w:w="6740" w:type="dxa"/>
            <w:vAlign w:val="bottom"/>
            <w:gridSpan w:val="10"/>
          </w:tcPr>
          <w:p>
            <w:pPr>
              <w:ind w:left="20"/>
              <w:spacing w:after="0"/>
              <w:rPr>
                <w:sz w:val="20"/>
                <w:szCs w:val="20"/>
                <w:color w:val="auto"/>
              </w:rPr>
            </w:pPr>
            <w:r>
              <w:rPr>
                <w:rFonts w:ascii="Times New Roman" w:cs="Times New Roman" w:eastAsia="Times New Roman" w:hAnsi="Times New Roman"/>
                <w:sz w:val="12"/>
                <w:szCs w:val="12"/>
                <w:b w:val="1"/>
                <w:bCs w:val="1"/>
                <w:color w:val="0000EE"/>
              </w:rPr>
              <w:t>– RATIFICATION OF APPOINTMENT OF INDEPENDENT REGISTERED PUBLIC ACCOUNTING FIRM</w:t>
            </w: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29</w:t>
            </w:r>
          </w:p>
        </w:tc>
      </w:tr>
      <w:tr>
        <w:trPr>
          <w:trHeight w:val="268"/>
        </w:trPr>
        <w:tc>
          <w:tcPr>
            <w:tcW w:w="10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b w:val="1"/>
                <w:bCs w:val="1"/>
                <w:color w:val="0000EE"/>
                <w:w w:val="99"/>
              </w:rPr>
              <w:t>PROPOSAL NO. 3</w:t>
            </w:r>
          </w:p>
        </w:tc>
        <w:tc>
          <w:tcPr>
            <w:tcW w:w="3080" w:type="dxa"/>
            <w:vAlign w:val="bottom"/>
            <w:tcBorders>
              <w:top w:val="single" w:sz="8" w:color="0000EE"/>
              <w:bottom w:val="single" w:sz="8" w:color="0000EE"/>
            </w:tcBorders>
            <w:gridSpan w:val="6"/>
          </w:tcPr>
          <w:p>
            <w:pPr>
              <w:ind w:left="20"/>
              <w:spacing w:after="0"/>
              <w:rPr>
                <w:sz w:val="20"/>
                <w:szCs w:val="20"/>
                <w:color w:val="auto"/>
              </w:rPr>
            </w:pPr>
            <w:r>
              <w:rPr>
                <w:rFonts w:ascii="Times New Roman" w:cs="Times New Roman" w:eastAsia="Times New Roman" w:hAnsi="Times New Roman"/>
                <w:sz w:val="12"/>
                <w:szCs w:val="12"/>
                <w:b w:val="1"/>
                <w:bCs w:val="1"/>
                <w:color w:val="0000EE"/>
                <w:w w:val="98"/>
              </w:rPr>
              <w:t>– ADVISORY VOTE ON EXECUTIVE COMPENSATION</w:t>
            </w:r>
          </w:p>
        </w:tc>
        <w:tc>
          <w:tcPr>
            <w:tcW w:w="2640" w:type="dxa"/>
            <w:vAlign w:val="bottom"/>
            <w:tcBorders>
              <w:top w:val="single" w:sz="8" w:color="0000EE"/>
            </w:tcBorders>
            <w:gridSpan w:val="3"/>
          </w:tcPr>
          <w:p>
            <w:pPr>
              <w:spacing w:after="0"/>
              <w:rPr>
                <w:sz w:val="23"/>
                <w:szCs w:val="23"/>
                <w:color w:val="auto"/>
              </w:rPr>
            </w:pPr>
          </w:p>
        </w:tc>
        <w:tc>
          <w:tcPr>
            <w:tcW w:w="1020" w:type="dxa"/>
            <w:vAlign w:val="bottom"/>
          </w:tcPr>
          <w:p>
            <w:pPr>
              <w:spacing w:after="0"/>
              <w:rPr>
                <w:sz w:val="23"/>
                <w:szCs w:val="23"/>
                <w:color w:val="auto"/>
              </w:rPr>
            </w:pP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30</w:t>
            </w:r>
          </w:p>
        </w:tc>
      </w:tr>
      <w:tr>
        <w:trPr>
          <w:trHeight w:val="268"/>
        </w:trPr>
        <w:tc>
          <w:tcPr>
            <w:tcW w:w="7740" w:type="dxa"/>
            <w:vAlign w:val="bottom"/>
            <w:gridSpan w:val="12"/>
          </w:tcPr>
          <w:p>
            <w:pPr>
              <w:spacing w:after="0"/>
              <w:rPr>
                <w:sz w:val="20"/>
                <w:szCs w:val="20"/>
                <w:color w:val="auto"/>
              </w:rPr>
            </w:pPr>
            <w:r>
              <w:rPr>
                <w:rFonts w:ascii="Times New Roman" w:cs="Times New Roman" w:eastAsia="Times New Roman" w:hAnsi="Times New Roman"/>
                <w:sz w:val="12"/>
                <w:szCs w:val="12"/>
                <w:b w:val="1"/>
                <w:bCs w:val="1"/>
                <w:color w:val="0000EE"/>
              </w:rPr>
              <w:t>COMMON STOCK OWNERSHIP OF CERTAIN BENEFICIAL OWNERS AND MANAGEMENT</w:t>
            </w: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31</w:t>
            </w:r>
          </w:p>
        </w:tc>
      </w:tr>
      <w:tr>
        <w:trPr>
          <w:trHeight w:val="268"/>
        </w:trPr>
        <w:tc>
          <w:tcPr>
            <w:tcW w:w="25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b w:val="1"/>
                <w:bCs w:val="1"/>
                <w:color w:val="0000EE"/>
                <w:w w:val="99"/>
              </w:rPr>
              <w:t>TRANSACTIONS WITH RELATED PERSONS</w:t>
            </w:r>
          </w:p>
        </w:tc>
        <w:tc>
          <w:tcPr>
            <w:tcW w:w="2620" w:type="dxa"/>
            <w:vAlign w:val="bottom"/>
            <w:tcBorders>
              <w:top w:val="single" w:sz="8" w:color="0000EE"/>
            </w:tcBorders>
            <w:gridSpan w:val="4"/>
          </w:tcPr>
          <w:p>
            <w:pPr>
              <w:spacing w:after="0"/>
              <w:rPr>
                <w:sz w:val="23"/>
                <w:szCs w:val="23"/>
                <w:color w:val="auto"/>
              </w:rPr>
            </w:pPr>
          </w:p>
        </w:tc>
        <w:tc>
          <w:tcPr>
            <w:tcW w:w="2600" w:type="dxa"/>
            <w:vAlign w:val="bottom"/>
            <w:gridSpan w:val="3"/>
          </w:tcPr>
          <w:p>
            <w:pPr>
              <w:spacing w:after="0"/>
              <w:rPr>
                <w:sz w:val="23"/>
                <w:szCs w:val="23"/>
                <w:color w:val="auto"/>
              </w:rPr>
            </w:pP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32</w:t>
            </w:r>
          </w:p>
        </w:tc>
      </w:tr>
      <w:tr>
        <w:trPr>
          <w:trHeight w:val="268"/>
        </w:trPr>
        <w:tc>
          <w:tcPr>
            <w:tcW w:w="7740" w:type="dxa"/>
            <w:vAlign w:val="bottom"/>
            <w:gridSpan w:val="12"/>
          </w:tcPr>
          <w:p>
            <w:pPr>
              <w:spacing w:after="0"/>
              <w:rPr>
                <w:sz w:val="20"/>
                <w:szCs w:val="20"/>
                <w:color w:val="auto"/>
              </w:rPr>
            </w:pPr>
            <w:r>
              <w:rPr>
                <w:rFonts w:ascii="Times New Roman" w:cs="Times New Roman" w:eastAsia="Times New Roman" w:hAnsi="Times New Roman"/>
                <w:sz w:val="12"/>
                <w:szCs w:val="12"/>
                <w:b w:val="1"/>
                <w:bCs w:val="1"/>
                <w:color w:val="0000EE"/>
              </w:rPr>
              <w:t>EXECUTIVE COMPENSATION</w:t>
            </w: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34</w:t>
            </w:r>
          </w:p>
        </w:tc>
      </w:tr>
      <w:tr>
        <w:trPr>
          <w:trHeight w:val="20"/>
        </w:trPr>
        <w:tc>
          <w:tcPr>
            <w:tcW w:w="172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8"/>
        </w:trPr>
        <w:tc>
          <w:tcPr>
            <w:tcW w:w="2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b w:val="1"/>
                <w:bCs w:val="1"/>
                <w:color w:val="0000EE"/>
                <w:w w:val="98"/>
              </w:rPr>
              <w:t>PRINCIPAL AUDITOR FEES AND SERVICES</w:t>
            </w:r>
          </w:p>
        </w:tc>
        <w:tc>
          <w:tcPr>
            <w:tcW w:w="5240" w:type="dxa"/>
            <w:vAlign w:val="bottom"/>
            <w:gridSpan w:val="8"/>
          </w:tcPr>
          <w:p>
            <w:pPr>
              <w:spacing w:after="0"/>
              <w:rPr>
                <w:sz w:val="23"/>
                <w:szCs w:val="23"/>
                <w:color w:val="auto"/>
              </w:rPr>
            </w:pP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66</w:t>
            </w:r>
          </w:p>
        </w:tc>
      </w:tr>
      <w:tr>
        <w:trPr>
          <w:trHeight w:val="268"/>
        </w:trPr>
        <w:tc>
          <w:tcPr>
            <w:tcW w:w="4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2"/>
                <w:szCs w:val="12"/>
                <w:b w:val="1"/>
                <w:bCs w:val="1"/>
                <w:color w:val="0000EE"/>
                <w:w w:val="99"/>
              </w:rPr>
              <w:t>REPORT OF THE AUDIT COMMITTEE OF THE BOARD OF DIRECTORS</w:t>
            </w:r>
          </w:p>
        </w:tc>
        <w:tc>
          <w:tcPr>
            <w:tcW w:w="3660" w:type="dxa"/>
            <w:vAlign w:val="bottom"/>
            <w:gridSpan w:val="4"/>
          </w:tcPr>
          <w:p>
            <w:pPr>
              <w:spacing w:after="0"/>
              <w:rPr>
                <w:sz w:val="23"/>
                <w:szCs w:val="23"/>
                <w:color w:val="auto"/>
              </w:rPr>
            </w:pP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67</w:t>
            </w:r>
          </w:p>
        </w:tc>
      </w:tr>
      <w:tr>
        <w:trPr>
          <w:trHeight w:val="268"/>
        </w:trPr>
        <w:tc>
          <w:tcPr>
            <w:tcW w:w="7740" w:type="dxa"/>
            <w:vAlign w:val="bottom"/>
            <w:gridSpan w:val="12"/>
          </w:tcPr>
          <w:p>
            <w:pPr>
              <w:spacing w:after="0"/>
              <w:rPr>
                <w:sz w:val="20"/>
                <w:szCs w:val="20"/>
                <w:color w:val="auto"/>
              </w:rPr>
            </w:pPr>
            <w:r>
              <w:rPr>
                <w:rFonts w:ascii="Times New Roman" w:cs="Times New Roman" w:eastAsia="Times New Roman" w:hAnsi="Times New Roman"/>
                <w:sz w:val="12"/>
                <w:szCs w:val="12"/>
                <w:b w:val="1"/>
                <w:bCs w:val="1"/>
                <w:color w:val="0000EE"/>
              </w:rPr>
              <w:t>ADDITIONAL INFORMATION</w:t>
            </w:r>
          </w:p>
        </w:tc>
        <w:tc>
          <w:tcPr>
            <w:tcW w:w="122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68</w:t>
            </w:r>
          </w:p>
        </w:tc>
      </w:tr>
      <w:tr>
        <w:trPr>
          <w:trHeight w:val="1103"/>
        </w:trPr>
        <w:tc>
          <w:tcPr>
            <w:tcW w:w="8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3"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245110</wp:posOffset>
            </wp:positionV>
            <wp:extent cx="651510"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1141-A Cummings Road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Santa Paula, California 93060</w:t>
      </w:r>
    </w:p>
    <w:p>
      <w:pPr>
        <w:spacing w:after="0" w:line="6" w:lineRule="exact"/>
        <w:rPr>
          <w:sz w:val="20"/>
          <w:szCs w:val="20"/>
          <w:color w:val="auto"/>
        </w:rPr>
      </w:pPr>
    </w:p>
    <w:p>
      <w:pPr>
        <w:ind w:left="4420" w:hanging="291"/>
        <w:spacing w:after="0"/>
        <w:tabs>
          <w:tab w:leader="none" w:pos="4420"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525-1245</w:t>
      </w:r>
    </w:p>
    <w:p>
      <w:pPr>
        <w:spacing w:after="0" w:line="135" w:lineRule="exact"/>
        <w:rPr>
          <w:rFonts w:ascii="Times New Roman" w:cs="Times New Roman" w:eastAsia="Times New Roman" w:hAnsi="Times New Roman"/>
          <w:sz w:val="12"/>
          <w:szCs w:val="12"/>
          <w:b w:val="1"/>
          <w:bCs w:val="1"/>
          <w:color w:val="auto"/>
        </w:rPr>
      </w:pPr>
    </w:p>
    <w:p>
      <w:pPr>
        <w:ind w:left="39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-123190</wp:posOffset>
            </wp:positionV>
            <wp:extent cx="14287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8750"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59055</wp:posOffset>
            </wp:positionV>
            <wp:extent cx="14287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left="20" w:right="39"/>
        <w:spacing w:after="0" w:line="286" w:lineRule="auto"/>
        <w:rPr>
          <w:sz w:val="20"/>
          <w:szCs w:val="20"/>
          <w:color w:val="auto"/>
        </w:rPr>
      </w:pPr>
      <w:r>
        <w:rPr>
          <w:rFonts w:ascii="Times New Roman" w:cs="Times New Roman" w:eastAsia="Times New Roman" w:hAnsi="Times New Roman"/>
          <w:sz w:val="12"/>
          <w:szCs w:val="12"/>
          <w:b w:val="1"/>
          <w:bCs w:val="1"/>
          <w:color w:val="auto"/>
        </w:rPr>
        <w:t>IMPORTANT NOTICE REGARDING THE AVAILABILITY OF PROXY MATERIALS FOR THE 2023 ANNUAL MEETING TO BE HELD ON WEDNESDAY, APRIL 26, 2023</w:t>
      </w:r>
    </w:p>
    <w:p>
      <w:pPr>
        <w:spacing w:after="0" w:line="121" w:lineRule="exact"/>
        <w:rPr>
          <w:sz w:val="20"/>
          <w:szCs w:val="20"/>
          <w:color w:val="auto"/>
        </w:rPr>
      </w:pPr>
    </w:p>
    <w:p>
      <w:pPr>
        <w:ind w:left="20" w:right="359"/>
        <w:spacing w:after="0" w:line="284" w:lineRule="auto"/>
        <w:rPr>
          <w:sz w:val="20"/>
          <w:szCs w:val="20"/>
          <w:color w:val="auto"/>
        </w:rPr>
      </w:pPr>
      <w:r>
        <w:rPr>
          <w:rFonts w:ascii="Times New Roman" w:cs="Times New Roman" w:eastAsia="Times New Roman" w:hAnsi="Times New Roman"/>
          <w:sz w:val="12"/>
          <w:szCs w:val="12"/>
          <w:b w:val="1"/>
          <w:bCs w:val="1"/>
          <w:color w:val="auto"/>
        </w:rPr>
        <w:t xml:space="preserve">Copies of this proxy statement, the form of proxy card and the 2022 Annual Report to Shareholders, which includes our 2022 Form 10-K (the “2022 Annual Report”) are available at </w:t>
      </w:r>
      <w:r>
        <w:rPr>
          <w:rFonts w:ascii="Times New Roman" w:cs="Times New Roman" w:eastAsia="Times New Roman" w:hAnsi="Times New Roman"/>
          <w:sz w:val="12"/>
          <w:szCs w:val="12"/>
          <w:b w:val="1"/>
          <w:bCs w:val="1"/>
          <w:i w:val="1"/>
          <w:iCs w:val="1"/>
          <w:color w:val="auto"/>
        </w:rPr>
        <w:t>http://ir.calavo.com/financial-information</w:t>
      </w:r>
      <w:r>
        <w:rPr>
          <w:rFonts w:ascii="Times New Roman" w:cs="Times New Roman" w:eastAsia="Times New Roman" w:hAnsi="Times New Roman"/>
          <w:sz w:val="12"/>
          <w:szCs w:val="12"/>
          <w:b w:val="1"/>
          <w:bCs w:val="1"/>
          <w:color w:val="auto"/>
        </w:rPr>
        <w:t xml:space="preserve"> or by emailing 2023proxy@calavo.com</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20" w:right="159"/>
        <w:spacing w:after="0" w:line="293" w:lineRule="auto"/>
        <w:rPr>
          <w:sz w:val="20"/>
          <w:szCs w:val="20"/>
          <w:color w:val="auto"/>
        </w:rPr>
      </w:pPr>
      <w:r>
        <w:rPr>
          <w:rFonts w:ascii="Times New Roman" w:cs="Times New Roman" w:eastAsia="Times New Roman" w:hAnsi="Times New Roman"/>
          <w:sz w:val="11"/>
          <w:szCs w:val="11"/>
          <w:color w:val="auto"/>
        </w:rPr>
        <w:t xml:space="preserve">This proxy statement contains information related to the Annual Meeting of Shareholders (the “Annual Meeting”) of Calavo Growers, Inc. to be held on </w:t>
      </w:r>
      <w:r>
        <w:rPr>
          <w:rFonts w:ascii="Times New Roman" w:cs="Times New Roman" w:eastAsia="Times New Roman" w:hAnsi="Times New Roman"/>
          <w:sz w:val="11"/>
          <w:szCs w:val="11"/>
          <w:b w:val="1"/>
          <w:bCs w:val="1"/>
          <w:color w:val="auto"/>
        </w:rPr>
        <w:t>Wednesday, April 26, 2023,</w:t>
      </w:r>
      <w:r>
        <w:rPr>
          <w:rFonts w:ascii="Times New Roman" w:cs="Times New Roman" w:eastAsia="Times New Roman" w:hAnsi="Times New Roman"/>
          <w:sz w:val="11"/>
          <w:szCs w:val="11"/>
          <w:color w:val="auto"/>
        </w:rPr>
        <w:t xml:space="preserve"> at 15765 W. Telegraph Road, Santa Paula, California 93060 and virtually beginning at </w:t>
      </w:r>
      <w:r>
        <w:rPr>
          <w:rFonts w:ascii="Times New Roman" w:cs="Times New Roman" w:eastAsia="Times New Roman" w:hAnsi="Times New Roman"/>
          <w:sz w:val="11"/>
          <w:szCs w:val="11"/>
          <w:b w:val="1"/>
          <w:bCs w:val="1"/>
          <w:color w:val="auto"/>
        </w:rPr>
        <w:t>1:00 p.m.</w:t>
      </w:r>
      <w:r>
        <w:rPr>
          <w:rFonts w:ascii="Times New Roman" w:cs="Times New Roman" w:eastAsia="Times New Roman" w:hAnsi="Times New Roman"/>
          <w:sz w:val="11"/>
          <w:szCs w:val="11"/>
          <w:color w:val="auto"/>
        </w:rPr>
        <w:t xml:space="preserve"> Pacific Time. The Company will provide its shareholders the opportunity to attend our 2023 Annual Meeting of Shareholders via live webcast by visiting www.virtualshareholdermeeting.com/CVGW2023 at the designated meeting time. The meeting will consist of the formal business portion of the meeting only, and the Company is offering this alternative way for shareholders to obtain meeting information and results without attending in person.</w:t>
      </w:r>
    </w:p>
    <w:p>
      <w:pPr>
        <w:spacing w:after="0" w:line="106" w:lineRule="exact"/>
        <w:rPr>
          <w:sz w:val="20"/>
          <w:szCs w:val="20"/>
          <w:color w:val="auto"/>
        </w:rPr>
      </w:pPr>
    </w:p>
    <w:p>
      <w:pPr>
        <w:ind w:left="20" w:right="119"/>
        <w:spacing w:after="0" w:line="260" w:lineRule="auto"/>
        <w:rPr>
          <w:sz w:val="20"/>
          <w:szCs w:val="20"/>
          <w:color w:val="auto"/>
        </w:rPr>
      </w:pPr>
      <w:r>
        <w:rPr>
          <w:rFonts w:ascii="Times New Roman" w:cs="Times New Roman" w:eastAsia="Times New Roman" w:hAnsi="Times New Roman"/>
          <w:sz w:val="12"/>
          <w:szCs w:val="12"/>
          <w:color w:val="auto"/>
        </w:rPr>
        <w:t>On or about March 6, 2023, we will begin mailing a Notice of Internet Availability of Proxy Materials to our shareholders (other than those who previously requested electronic or paper delivery of proxy materials), directing shareholders to a website where they can access our proxy materials, including this proxy statement and the 2022 Annual Report, and view instructions on how to vote.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122"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 xml:space="preserve">You will be able to attend the Annual Meeting, vote and submit your questions during the Annual Meeting via live webcast by visiting </w:t>
      </w:r>
      <w:r>
        <w:rPr>
          <w:rFonts w:ascii="Times New Roman" w:cs="Times New Roman" w:eastAsia="Times New Roman" w:hAnsi="Times New Roman"/>
          <w:sz w:val="12"/>
          <w:szCs w:val="12"/>
          <w:b w:val="1"/>
          <w:bCs w:val="1"/>
          <w:color w:val="auto"/>
        </w:rPr>
        <w:t>www.virtualshareholdermeeting.com/CVGW2023</w:t>
      </w:r>
      <w:r>
        <w:rPr>
          <w:rFonts w:ascii="Times New Roman" w:cs="Times New Roman" w:eastAsia="Times New Roman" w:hAnsi="Times New Roman"/>
          <w:sz w:val="12"/>
          <w:szCs w:val="12"/>
          <w:color w:val="auto"/>
        </w:rPr>
        <w:t>. Prior to the Annual Meeting, you will be able to vote at</w:t>
      </w:r>
      <w:r>
        <w:rPr>
          <w:rFonts w:ascii="Times New Roman" w:cs="Times New Roman" w:eastAsia="Times New Roman" w:hAnsi="Times New Roman"/>
          <w:sz w:val="12"/>
          <w:szCs w:val="12"/>
          <w:b w:val="1"/>
          <w:bCs w:val="1"/>
          <w:color w:val="auto"/>
        </w:rPr>
        <w:t xml:space="preserve"> www.proxyvote.com</w:t>
      </w:r>
      <w:r>
        <w:rPr>
          <w:rFonts w:ascii="Times New Roman" w:cs="Times New Roman" w:eastAsia="Times New Roman" w:hAnsi="Times New Roman"/>
          <w:sz w:val="12"/>
          <w:szCs w:val="12"/>
          <w:color w:val="auto"/>
        </w:rPr>
        <w:t>. Note that cumulative voting for directors will not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allowed via the live webcast. Shareholders who wish to vote cumulatively for directors should provide proxy instructions before the Annual Meeting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compared to voting in person at the Annual Meeting. Shareholders therefore need not attend the Annual Meeting in person simply to vote cumulatively for directors.</w:t>
      </w:r>
    </w:p>
    <w:p>
      <w:pPr>
        <w:spacing w:after="0" w:line="125"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For any shareholders who plan to attend the meeting in person, the Company intends to employ “social distancing”, masking or other measures as are required or recommended by public health authorities.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QUESTIONS AND ANSWERS ABOUT THE PROXY MATERIALS AND THE ANNUAL MEETING</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Proxy Materials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Why am I receiving these materials?</w:t>
      </w:r>
    </w:p>
    <w:p>
      <w:pPr>
        <w:spacing w:after="0" w:line="141" w:lineRule="exact"/>
        <w:rPr>
          <w:sz w:val="20"/>
          <w:szCs w:val="20"/>
          <w:color w:val="auto"/>
        </w:rPr>
      </w:pPr>
    </w:p>
    <w:p>
      <w:pPr>
        <w:ind w:left="20" w:right="79"/>
        <w:spacing w:after="0" w:line="262" w:lineRule="auto"/>
        <w:rPr>
          <w:sz w:val="20"/>
          <w:szCs w:val="20"/>
          <w:color w:val="auto"/>
        </w:rPr>
      </w:pPr>
      <w:r>
        <w:rPr>
          <w:rFonts w:ascii="Times New Roman" w:cs="Times New Roman" w:eastAsia="Times New Roman" w:hAnsi="Times New Roman"/>
          <w:sz w:val="12"/>
          <w:szCs w:val="12"/>
          <w:color w:val="auto"/>
        </w:rPr>
        <w:t>The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of Calavo Growers, Inc. (“</w:t>
      </w:r>
      <w:r>
        <w:rPr>
          <w:rFonts w:ascii="Times New Roman" w:cs="Times New Roman" w:eastAsia="Times New Roman" w:hAnsi="Times New Roman"/>
          <w:sz w:val="12"/>
          <w:szCs w:val="12"/>
          <w:b w:val="1"/>
          <w:bCs w:val="1"/>
          <w:color w:val="auto"/>
        </w:rPr>
        <w:t>Calavo</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our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 California corporation, is providing these proxy materials for you in connection with the Annual Meeting which will take place on April 26, 2023. As a shareholder, you are invited to virtually attend the Annual Meeting and are entitled to, and requested to, vote on the items of business described in this proxy statement. This proxy statement includes information that we are required to provide to you under the rules of the U.S. Securities and Exchange Commission (the “SEC”) and that is designed to assist you in voting your shares.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Why did I receive a notice in the mail regarding the Internet availability of proxy materials instead of a full set of proxy materials?</w:t>
      </w:r>
    </w:p>
    <w:p>
      <w:pPr>
        <w:spacing w:after="0" w:line="154"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2"/>
          <w:szCs w:val="12"/>
          <w:color w:val="auto"/>
        </w:rPr>
        <w:t>In accordance with the rules adopted by the SEC, we may furnish proxy materials, including this proxy statement and our 2022 Annual Report, to our shareholders by providing access to such documents on the Internet instead of mailing printed copies. Most shareholders will not receive printed copies of the proxy materials unless they request them. Instead, the Notice of Internet Availability of Proxy Materials, which we will begin mailing to our shareholders on or about March 6, 2023, will instruct you as to how you may access and review all of the proxy materials over the Internet. The Notice of Internet Availability of Proxy Materials also instructs you as to how you may submit your proxy on the Internet. If you would like to receive a paper or email copy of our proxy materials, you should follow the instructions for requesting such materials in the Notice of Internet Availability of Proxy Materials.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included in the proxy materials?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proxy materials include:</w:t>
      </w:r>
    </w:p>
    <w:p>
      <w:pPr>
        <w:spacing w:after="0" w:line="141" w:lineRule="exact"/>
        <w:rPr>
          <w:sz w:val="20"/>
          <w:szCs w:val="20"/>
          <w:color w:val="auto"/>
        </w:rPr>
      </w:pPr>
    </w:p>
    <w:p>
      <w:pPr>
        <w:ind w:left="480" w:hanging="213"/>
        <w:spacing w:after="0"/>
        <w:tabs>
          <w:tab w:leader="none" w:pos="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proxy statement for the Annual Meeting;</w:t>
      </w:r>
    </w:p>
    <w:p>
      <w:pPr>
        <w:spacing w:after="0" w:line="16" w:lineRule="exact"/>
        <w:rPr>
          <w:rFonts w:ascii="Times New Roman" w:cs="Times New Roman" w:eastAsia="Times New Roman" w:hAnsi="Times New Roman"/>
          <w:sz w:val="12"/>
          <w:szCs w:val="12"/>
          <w:color w:val="auto"/>
        </w:rPr>
      </w:pPr>
    </w:p>
    <w:p>
      <w:pPr>
        <w:ind w:left="480" w:hanging="213"/>
        <w:spacing w:after="0"/>
        <w:tabs>
          <w:tab w:leader="none" w:pos="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2022 Annual Report, which includes our 2022 Form 10-K; and</w:t>
      </w:r>
    </w:p>
    <w:p>
      <w:pPr>
        <w:spacing w:after="0" w:line="6" w:lineRule="exact"/>
        <w:rPr>
          <w:rFonts w:ascii="Times New Roman" w:cs="Times New Roman" w:eastAsia="Times New Roman" w:hAnsi="Times New Roman"/>
          <w:sz w:val="12"/>
          <w:szCs w:val="12"/>
          <w:color w:val="auto"/>
        </w:rPr>
      </w:pPr>
    </w:p>
    <w:p>
      <w:pPr>
        <w:ind w:left="480" w:hanging="213"/>
        <w:spacing w:after="0"/>
        <w:tabs>
          <w:tab w:leader="none" w:pos="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proxy card or a voting instruction card for the Annual Meeting.</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information is contained in this proxy statement?</w:t>
      </w:r>
    </w:p>
    <w:p>
      <w:pPr>
        <w:spacing w:after="0" w:line="145"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The information included in this proxy statement relates to the proposals to be voted on at the Annual Meeting, the voting process, our Board and Board committees, the compensation of our directors and current executive officers, and other required information.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obtain a copy of Calavo’s 2022 Annual Report to Shareholders, Form 10-K and/or other financial information?</w:t>
      </w:r>
    </w:p>
    <w:p>
      <w:pPr>
        <w:spacing w:after="0" w:line="141" w:lineRule="exact"/>
        <w:rPr>
          <w:sz w:val="20"/>
          <w:szCs w:val="20"/>
          <w:color w:val="auto"/>
        </w:rPr>
      </w:pPr>
    </w:p>
    <w:p>
      <w:pPr>
        <w:ind w:left="20" w:right="439"/>
        <w:spacing w:after="0" w:line="286" w:lineRule="auto"/>
        <w:rPr>
          <w:sz w:val="20"/>
          <w:szCs w:val="20"/>
          <w:color w:val="auto"/>
        </w:rPr>
      </w:pPr>
      <w:r>
        <w:rPr>
          <w:rFonts w:ascii="Times New Roman" w:cs="Times New Roman" w:eastAsia="Times New Roman" w:hAnsi="Times New Roman"/>
          <w:sz w:val="12"/>
          <w:szCs w:val="12"/>
          <w:color w:val="auto"/>
        </w:rPr>
        <w:t xml:space="preserve">A copy of our 2022 Annual Report to Shareholders, which includes our 2022 Form 10-K, is available without charge at </w:t>
      </w:r>
      <w:r>
        <w:rPr>
          <w:rFonts w:ascii="Times New Roman" w:cs="Times New Roman" w:eastAsia="Times New Roman" w:hAnsi="Times New Roman"/>
          <w:sz w:val="12"/>
          <w:szCs w:val="12"/>
          <w:b w:val="1"/>
          <w:bCs w:val="1"/>
          <w:i w:val="1"/>
          <w:iCs w:val="1"/>
          <w:color w:val="auto"/>
        </w:rPr>
        <w:t>http://ir.calavo.com/financial-information</w:t>
      </w:r>
      <w:r>
        <w:rPr>
          <w:rFonts w:ascii="Times New Roman" w:cs="Times New Roman" w:eastAsia="Times New Roman" w:hAnsi="Times New Roman"/>
          <w:sz w:val="12"/>
          <w:szCs w:val="12"/>
          <w:color w:val="auto"/>
        </w:rPr>
        <w:t xml:space="preserve"> or by emailing </w:t>
      </w:r>
      <w:r>
        <w:rPr>
          <w:rFonts w:ascii="Times New Roman" w:cs="Times New Roman" w:eastAsia="Times New Roman" w:hAnsi="Times New Roman"/>
          <w:sz w:val="12"/>
          <w:szCs w:val="12"/>
          <w:b w:val="1"/>
          <w:bCs w:val="1"/>
          <w:i w:val="1"/>
          <w:iCs w:val="1"/>
          <w:color w:val="auto"/>
        </w:rPr>
        <w:t>2023proxy@calavo.com</w:t>
      </w:r>
      <w:r>
        <w:rPr>
          <w:rFonts w:ascii="Times New Roman" w:cs="Times New Roman" w:eastAsia="Times New Roman" w:hAnsi="Times New Roman"/>
          <w:sz w:val="12"/>
          <w:szCs w:val="12"/>
          <w:color w:val="auto"/>
        </w:rPr>
        <w:t>.</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request multiple sets of the Notice of Internet Availability of Proxy Materials or proxy materials if two or more shareholders reside in my household?</w:t>
      </w:r>
    </w:p>
    <w:p>
      <w:pPr>
        <w:spacing w:after="0" w:line="154" w:lineRule="exact"/>
        <w:rPr>
          <w:sz w:val="20"/>
          <w:szCs w:val="20"/>
          <w:color w:val="auto"/>
        </w:rPr>
      </w:pPr>
    </w:p>
    <w:p>
      <w:pPr>
        <w:ind w:left="20" w:right="219"/>
        <w:spacing w:after="0" w:line="279" w:lineRule="auto"/>
        <w:rPr>
          <w:sz w:val="20"/>
          <w:szCs w:val="20"/>
          <w:color w:val="auto"/>
        </w:rPr>
      </w:pPr>
      <w:r>
        <w:rPr>
          <w:rFonts w:ascii="Times New Roman" w:cs="Times New Roman" w:eastAsia="Times New Roman" w:hAnsi="Times New Roman"/>
          <w:sz w:val="12"/>
          <w:szCs w:val="12"/>
          <w:color w:val="auto"/>
        </w:rPr>
        <w:t>We have adopted a procedure called "householding." Under this procedure, we may deliver a single copy of the Notice of Internet Availability of Proxy Materials and, if you requested printed versions by mail, this proxy statement and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99"/>
        <w:spacing w:after="0" w:line="256" w:lineRule="auto"/>
        <w:rPr>
          <w:sz w:val="20"/>
          <w:szCs w:val="20"/>
          <w:color w:val="auto"/>
        </w:rPr>
      </w:pPr>
      <w:r>
        <w:rPr>
          <w:rFonts w:ascii="Times New Roman" w:cs="Times New Roman" w:eastAsia="Times New Roman" w:hAnsi="Times New Roman"/>
          <w:sz w:val="12"/>
          <w:szCs w:val="12"/>
          <w:color w:val="auto"/>
        </w:rPr>
        <w:t>2022 Annual Report to multiple shareholders who share the same address unless we have received contrary instructions from one or more of the shareholders. This procedure reduces the environmental impact of our Annual Meetings and reduces our printing and mailing costs. Shareholders who participate in householding will continue to receive separate proxy cards. Upon written or oral request, we will deliver promptly a separate copy of the Notice of Internet Availability of Proxy Materials and, if you requested printed versions by mail, this proxy statement and the 2022 Annual Report to any shareholder that elects not to participate in householding. Requests for additional copies of the Notice of Internet Availability of Proxy Materials, and if you requested printed version by mail, this proxy statement and 2022 Annual Report, and requests that in the future separate documents be sent to shareholders who share an address, should be directed by emailing 2023proxy@calavo.com. In addition, you can call (805)525-1245, or write to 1141-A Cummings Road, Santa Paula, Ca 93060.</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request a single Notice of Internet Availability of Proxy Materials or set of proxy materials for my household?</w:t>
      </w:r>
    </w:p>
    <w:p>
      <w:pPr>
        <w:spacing w:after="0" w:line="154"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If you share an address with another shareholder and have received multiple copies of our Notice of Internet Availability of Proxy Materials or, if you requested printed versions by mail, proxy materials, you may write us at the email address set forth in the preceding paragraph to request delivery of a single copy of these materials.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should I do if I receive more than one set of voting materials?</w:t>
      </w:r>
    </w:p>
    <w:p>
      <w:pPr>
        <w:spacing w:after="0" w:line="154"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You may receive more than one set of voting materials, including multiple copies of Notice of Internet Availability of Proxy Materials and, if you requested printed versions by mail, 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each Calavo proxy card and voting instruction card that you receive.</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Voting Information</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items of business will be voted on at the Annual Meeting?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items of business scheduled to be voted on at the Annual Meeting are:</w:t>
      </w:r>
    </w:p>
    <w:p>
      <w:pPr>
        <w:spacing w:after="0" w:line="150" w:lineRule="exact"/>
        <w:rPr>
          <w:sz w:val="20"/>
          <w:szCs w:val="20"/>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directors</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ratification of Calavo’s independent registered public accounting firm for the 2023 fiscal year</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Advisory vote on executive compensation</w:t>
      </w:r>
    </w:p>
    <w:p>
      <w:pPr>
        <w:spacing w:after="0" w:line="137" w:lineRule="exact"/>
        <w:rPr>
          <w:sz w:val="20"/>
          <w:szCs w:val="20"/>
          <w:color w:val="auto"/>
        </w:rPr>
      </w:pPr>
    </w:p>
    <w:p>
      <w:pPr>
        <w:ind w:left="20" w:right="39"/>
        <w:spacing w:after="0" w:line="283" w:lineRule="auto"/>
        <w:rPr>
          <w:sz w:val="20"/>
          <w:szCs w:val="20"/>
          <w:color w:val="auto"/>
        </w:rPr>
      </w:pPr>
      <w:r>
        <w:rPr>
          <w:rFonts w:ascii="Times New Roman" w:cs="Times New Roman" w:eastAsia="Times New Roman" w:hAnsi="Times New Roman"/>
          <w:sz w:val="12"/>
          <w:szCs w:val="12"/>
          <w:color w:val="auto"/>
        </w:rPr>
        <w:t xml:space="preserve">We also will consider any other business that properly comes before the Annual Meeting. See </w:t>
      </w:r>
      <w:r>
        <w:rPr>
          <w:rFonts w:ascii="Times New Roman" w:cs="Times New Roman" w:eastAsia="Times New Roman" w:hAnsi="Times New Roman"/>
          <w:sz w:val="12"/>
          <w:szCs w:val="12"/>
          <w:i w:val="1"/>
          <w:iCs w:val="1"/>
          <w:color w:val="auto"/>
        </w:rPr>
        <w:t>“What is the deadline to propose actions for consideration at next year’s Annual Meeting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shareholders?” </w:t>
      </w:r>
      <w:r>
        <w:rPr>
          <w:rFonts w:ascii="Times New Roman" w:cs="Times New Roman" w:eastAsia="Times New Roman" w:hAnsi="Times New Roman"/>
          <w:sz w:val="12"/>
          <w:szCs w:val="12"/>
          <w:color w:val="auto"/>
        </w:rPr>
        <w:t>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Do directors and officers have an interest in matters to be acted upon at the Annual Meeting?</w:t>
      </w:r>
    </w:p>
    <w:p>
      <w:pPr>
        <w:spacing w:after="0" w:line="154" w:lineRule="exact"/>
        <w:rPr>
          <w:sz w:val="20"/>
          <w:szCs w:val="20"/>
          <w:color w:val="auto"/>
        </w:rPr>
      </w:pPr>
    </w:p>
    <w:p>
      <w:pPr>
        <w:ind w:left="20" w:right="279"/>
        <w:spacing w:after="0" w:line="279" w:lineRule="auto"/>
        <w:rPr>
          <w:sz w:val="20"/>
          <w:szCs w:val="20"/>
          <w:color w:val="auto"/>
        </w:rPr>
      </w:pPr>
      <w:r>
        <w:rPr>
          <w:rFonts w:ascii="Times New Roman" w:cs="Times New Roman" w:eastAsia="Times New Roman" w:hAnsi="Times New Roman"/>
          <w:sz w:val="12"/>
          <w:szCs w:val="12"/>
          <w:color w:val="auto"/>
        </w:rPr>
        <w:t>Directors and executive officers who are director nominees standing for election at the Annual Meeting have an interest in Proposal 1. Directors and executive officers do not have an interest in Proposal 2. Our executive officers have an interest in Proposal 3 as it relates to the compensation of our named executive officers.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happens if additional matters are presented at the Annual Meeting?</w:t>
      </w:r>
    </w:p>
    <w:p>
      <w:pPr>
        <w:spacing w:after="0" w:line="154"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Other than the three items of business described in this proxy statement, we are not aware of any other business to be acted upon at the Annual Meeting. If you grant a proxy, the persons named as proxy holders, Steven Hollister and J.</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Link Leavens, will have the discretion to vote your shares on any additional matters properly presented for a vote at the meeting. If for any reason any of our nominees are not available as candidates for directors, the persons named as proxy holders will vote your proxy for such other candidate or candidates as may be nominated by the Board.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does the Board recommend that I vote?</w:t>
      </w:r>
    </w:p>
    <w:p>
      <w:pPr>
        <w:spacing w:after="0" w:line="154"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Our Board recommends that you vote your shares FOR each of the nine nominees for election to the Board, FOR the ratification of our independent registered public accounting firm for the 2023 fiscal year, and FOR the approval of the compensation of Calavo’s named executive officers.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difference between holding shares as a shareholder of record and as a beneficial owner?</w:t>
      </w:r>
    </w:p>
    <w:p>
      <w:pPr>
        <w:spacing w:after="0" w:line="154" w:lineRule="exact"/>
        <w:rPr>
          <w:sz w:val="20"/>
          <w:szCs w:val="20"/>
          <w:color w:val="auto"/>
        </w:rPr>
      </w:pPr>
    </w:p>
    <w:p>
      <w:pPr>
        <w:ind w:left="20" w:right="339"/>
        <w:spacing w:after="0" w:line="279" w:lineRule="auto"/>
        <w:rPr>
          <w:sz w:val="20"/>
          <w:szCs w:val="20"/>
          <w:color w:val="auto"/>
        </w:rPr>
      </w:pPr>
      <w:r>
        <w:rPr>
          <w:rFonts w:ascii="Times New Roman" w:cs="Times New Roman" w:eastAsia="Times New Roman" w:hAnsi="Times New Roman"/>
          <w:sz w:val="12"/>
          <w:szCs w:val="12"/>
          <w:color w:val="auto"/>
        </w:rPr>
        <w:t>Many Calavo shareholders hold their shares through a broker, or other nominee, rather than directly in their own names. As summarized below, there are some distinctions between shares held of record and those owned beneficially.</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Shareholder of Record</w:t>
      </w:r>
    </w:p>
    <w:p>
      <w:pPr>
        <w:spacing w:after="0" w:line="152" w:lineRule="exact"/>
        <w:rPr>
          <w:sz w:val="20"/>
          <w:szCs w:val="20"/>
          <w:color w:val="auto"/>
        </w:rPr>
      </w:pPr>
    </w:p>
    <w:p>
      <w:pPr>
        <w:jc w:val="both"/>
        <w:ind w:left="440" w:right="59"/>
        <w:spacing w:after="0" w:line="266" w:lineRule="auto"/>
        <w:rPr>
          <w:sz w:val="20"/>
          <w:szCs w:val="20"/>
          <w:color w:val="auto"/>
        </w:rPr>
      </w:pPr>
      <w:r>
        <w:rPr>
          <w:rFonts w:ascii="Times New Roman" w:cs="Times New Roman" w:eastAsia="Times New Roman" w:hAnsi="Times New Roman"/>
          <w:sz w:val="12"/>
          <w:szCs w:val="12"/>
          <w:color w:val="auto"/>
        </w:rPr>
        <w:t xml:space="preserve">If your shares are registered directly in your name with our transfer agent, Computershare, you are considered, with respect to those shares, the </w:t>
      </w: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xml:space="preserve">, and we are sending the Notice of Internet Availability of Proxy Materials or the proxy materials directly to you. As the </w:t>
      </w: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you have the right to grant your voting proxy directly to us or to vote in person at the meeting.</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Beneficial Owner</w:t>
      </w:r>
    </w:p>
    <w:p>
      <w:pPr>
        <w:spacing w:after="0" w:line="152" w:lineRule="exact"/>
        <w:rPr>
          <w:sz w:val="20"/>
          <w:szCs w:val="20"/>
          <w:color w:val="auto"/>
        </w:rPr>
      </w:pPr>
    </w:p>
    <w:p>
      <w:pPr>
        <w:ind w:left="440" w:right="199"/>
        <w:spacing w:after="0" w:line="266" w:lineRule="auto"/>
        <w:rPr>
          <w:sz w:val="20"/>
          <w:szCs w:val="20"/>
          <w:color w:val="auto"/>
        </w:rPr>
      </w:pPr>
      <w:r>
        <w:rPr>
          <w:rFonts w:ascii="Times New Roman" w:cs="Times New Roman" w:eastAsia="Times New Roman" w:hAnsi="Times New Roman"/>
          <w:sz w:val="12"/>
          <w:szCs w:val="12"/>
          <w:color w:val="auto"/>
        </w:rPr>
        <w:t xml:space="preserve">If your shares are held in a brokerage account, or by another nominee, you are considered the </w:t>
      </w:r>
      <w:r>
        <w:rPr>
          <w:rFonts w:ascii="Times New Roman" w:cs="Times New Roman" w:eastAsia="Times New Roman" w:hAnsi="Times New Roman"/>
          <w:sz w:val="12"/>
          <w:szCs w:val="12"/>
          <w:i w:val="1"/>
          <w:iCs w:val="1"/>
          <w:color w:val="auto"/>
        </w:rPr>
        <w:t>beneficial owner</w:t>
      </w:r>
      <w:r>
        <w:rPr>
          <w:rFonts w:ascii="Times New Roman" w:cs="Times New Roman" w:eastAsia="Times New Roman" w:hAnsi="Times New Roman"/>
          <w:sz w:val="12"/>
          <w:szCs w:val="12"/>
          <w:color w:val="auto"/>
        </w:rPr>
        <w:t xml:space="preserve"> of shares held </w:t>
      </w:r>
      <w:r>
        <w:rPr>
          <w:rFonts w:ascii="Times New Roman" w:cs="Times New Roman" w:eastAsia="Times New Roman" w:hAnsi="Times New Roman"/>
          <w:sz w:val="12"/>
          <w:szCs w:val="12"/>
          <w:i w:val="1"/>
          <w:iCs w:val="1"/>
          <w:color w:val="auto"/>
        </w:rPr>
        <w:t>in street name</w:t>
      </w:r>
      <w:r>
        <w:rPr>
          <w:rFonts w:ascii="Times New Roman" w:cs="Times New Roman" w:eastAsia="Times New Roman" w:hAnsi="Times New Roman"/>
          <w:sz w:val="12"/>
          <w:szCs w:val="12"/>
          <w:color w:val="auto"/>
        </w:rPr>
        <w:t>, and the Notice of Internet Availability of Proxy Materials or the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spacing w:after="0" w:line="117" w:lineRule="exact"/>
        <w:rPr>
          <w:sz w:val="20"/>
          <w:szCs w:val="20"/>
          <w:color w:val="auto"/>
        </w:rPr>
      </w:pPr>
    </w:p>
    <w:p>
      <w:pPr>
        <w:jc w:val="both"/>
        <w:ind w:left="440" w:right="39"/>
        <w:spacing w:after="0" w:line="266" w:lineRule="auto"/>
        <w:rPr>
          <w:sz w:val="20"/>
          <w:szCs w:val="20"/>
          <w:color w:val="auto"/>
        </w:rPr>
      </w:pPr>
      <w:r>
        <w:rPr>
          <w:rFonts w:ascii="Times New Roman" w:cs="Times New Roman" w:eastAsia="Times New Roman" w:hAnsi="Times New Roman"/>
          <w:sz w:val="12"/>
          <w:szCs w:val="12"/>
          <w:color w:val="auto"/>
        </w:rPr>
        <w:t xml:space="preserve">Since a beneficial owner is not the </w:t>
      </w: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you may not vote these shares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shares can I vote?</w:t>
      </w:r>
    </w:p>
    <w:p>
      <w:pPr>
        <w:spacing w:after="0" w:line="152" w:lineRule="exact"/>
        <w:rPr>
          <w:sz w:val="20"/>
          <w:szCs w:val="20"/>
          <w:color w:val="auto"/>
        </w:rPr>
      </w:pPr>
    </w:p>
    <w:p>
      <w:pPr>
        <w:jc w:val="both"/>
        <w:ind w:left="20" w:right="59"/>
        <w:spacing w:after="0" w:line="266" w:lineRule="auto"/>
        <w:rPr>
          <w:sz w:val="20"/>
          <w:szCs w:val="20"/>
          <w:color w:val="auto"/>
        </w:rPr>
      </w:pPr>
      <w:r>
        <w:rPr>
          <w:rFonts w:ascii="Times New Roman" w:cs="Times New Roman" w:eastAsia="Times New Roman" w:hAnsi="Times New Roman"/>
          <w:sz w:val="12"/>
          <w:szCs w:val="12"/>
          <w:color w:val="auto"/>
        </w:rPr>
        <w:t xml:space="preserve">Each share of Calavo common stock issued and outstanding as of the close of business on the </w:t>
      </w:r>
      <w:r>
        <w:rPr>
          <w:rFonts w:ascii="Times New Roman" w:cs="Times New Roman" w:eastAsia="Times New Roman" w:hAnsi="Times New Roman"/>
          <w:sz w:val="12"/>
          <w:szCs w:val="12"/>
          <w:i w:val="1"/>
          <w:iCs w:val="1"/>
          <w:color w:val="auto"/>
        </w:rPr>
        <w:t>Record Date</w:t>
      </w:r>
      <w:r>
        <w:rPr>
          <w:rFonts w:ascii="Times New Roman" w:cs="Times New Roman" w:eastAsia="Times New Roman" w:hAnsi="Times New Roman"/>
          <w:sz w:val="12"/>
          <w:szCs w:val="12"/>
          <w:color w:val="auto"/>
        </w:rPr>
        <w:t xml:space="preserve"> for the Annual Meeting, is entitled to be voted on all items being voted upon at the Annual Meeting. You may vote all shares owned by you as of this time, including (1) shares held directly in your name as the </w:t>
      </w: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xml:space="preserve"> and (2) shares held for you as the </w:t>
      </w:r>
      <w:r>
        <w:rPr>
          <w:rFonts w:ascii="Times New Roman" w:cs="Times New Roman" w:eastAsia="Times New Roman" w:hAnsi="Times New Roman"/>
          <w:sz w:val="12"/>
          <w:szCs w:val="12"/>
          <w:i w:val="1"/>
          <w:iCs w:val="1"/>
          <w:color w:val="auto"/>
        </w:rPr>
        <w:t xml:space="preserve">beneficial owner </w:t>
      </w:r>
      <w:r>
        <w:rPr>
          <w:rFonts w:ascii="Times New Roman" w:cs="Times New Roman" w:eastAsia="Times New Roman" w:hAnsi="Times New Roman"/>
          <w:sz w:val="12"/>
          <w:szCs w:val="12"/>
          <w:color w:val="auto"/>
        </w:rPr>
        <w:t>through a broker, trustee or other nominee such as a bank. On the</w:t>
      </w:r>
      <w:r>
        <w:rPr>
          <w:rFonts w:ascii="Times New Roman" w:cs="Times New Roman" w:eastAsia="Times New Roman" w:hAnsi="Times New Roman"/>
          <w:sz w:val="12"/>
          <w:szCs w:val="12"/>
          <w:i w:val="1"/>
          <w:iCs w:val="1"/>
          <w:color w:val="auto"/>
        </w:rPr>
        <w:t xml:space="preserve"> Record Date, </w:t>
      </w:r>
      <w:r>
        <w:rPr>
          <w:rFonts w:ascii="Times New Roman" w:cs="Times New Roman" w:eastAsia="Times New Roman" w:hAnsi="Times New Roman"/>
          <w:sz w:val="12"/>
          <w:szCs w:val="12"/>
          <w:color w:val="auto"/>
        </w:rPr>
        <w:t>we had approximately 17.7 million shares of common stock issued and outstanding.</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can I vote my shares in person at the meeting?</w:t>
      </w:r>
    </w:p>
    <w:p>
      <w:pPr>
        <w:spacing w:after="0" w:line="154"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Shares held in your name as the shareholder of record may be voted in person at the Annual Meeting. Shares held beneficially in street name may be voted in person at the Annual Meeting only if you obtain a legal proxy from 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can I vote my shares without attending the Annual Meeting?</w:t>
      </w:r>
    </w:p>
    <w:p>
      <w:pPr>
        <w:spacing w:after="0" w:line="154"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the Notice of Internet Availability of Proxy Materials or, for shares held beneficially in street name, the voting instructions provided by your broker, trustee or nominee.</w:t>
      </w:r>
    </w:p>
    <w:p>
      <w:pPr>
        <w:spacing w:after="0" w:line="122"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Shareholders of record of Calavo common stock may submit proxies by following the instructions set forth in the Notice of Internet Availability of Proxy Materials or completing, signing and dating their proxy cards and mailing them in the accompanying pre-addressed envelopes, as applicable.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deadline for voting my shares?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If you hold shares as the shareholder of record, your vote by proxy must be received before the polls close at the Annual Meeting on April 26, 2023 at 1:00 p.m. Pacific Time.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If you are the beneficial owner of shares held through a broker, trustee or other nominee, please follow the voting instructions provided by your broker, trustee or nominee.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May I change my vote?</w:t>
      </w:r>
    </w:p>
    <w:p>
      <w:pPr>
        <w:spacing w:after="0" w:line="154" w:lineRule="exact"/>
        <w:rPr>
          <w:sz w:val="20"/>
          <w:szCs w:val="20"/>
          <w:color w:val="auto"/>
        </w:rPr>
      </w:pPr>
    </w:p>
    <w:p>
      <w:pPr>
        <w:ind w:left="20" w:right="239"/>
        <w:spacing w:after="0" w:line="257" w:lineRule="auto"/>
        <w:rPr>
          <w:sz w:val="20"/>
          <w:szCs w:val="20"/>
          <w:color w:val="auto"/>
        </w:rPr>
      </w:pPr>
      <w:r>
        <w:rPr>
          <w:rFonts w:ascii="Times New Roman" w:cs="Times New Roman" w:eastAsia="Times New Roman" w:hAnsi="Times New Roman"/>
          <w:sz w:val="12"/>
          <w:szCs w:val="12"/>
          <w:color w:val="auto"/>
        </w:rPr>
        <w:t>You may change your vote at any time prior to the vote at the Annual Meeting on April 26, 2023 at 1:00 p.m. Pacific Time. If you are the shareholder of record, you may change your vote at any time before it is voted at the meeting by transmitting a new proxy bearing a later date (which automatically revokes the earlier proxy), or by sending a written notice of revocation to the Corporate Secretary for receipt prior to the meeting at the email address shown under the question below titled, “</w:t>
      </w:r>
      <w:r>
        <w:rPr>
          <w:rFonts w:ascii="Times New Roman" w:cs="Times New Roman" w:eastAsia="Times New Roman" w:hAnsi="Times New Roman"/>
          <w:sz w:val="12"/>
          <w:szCs w:val="12"/>
          <w:i w:val="1"/>
          <w:iCs w:val="1"/>
          <w:color w:val="auto"/>
        </w:rPr>
        <w:t>What is the deadline to propose actions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consideration at next year's Annual Meeting of shareholders?</w:t>
      </w:r>
      <w:r>
        <w:rPr>
          <w:rFonts w:ascii="Times New Roman" w:cs="Times New Roman" w:eastAsia="Times New Roman" w:hAnsi="Times New Roman"/>
          <w:sz w:val="12"/>
          <w:szCs w:val="12"/>
          <w:color w:val="auto"/>
        </w:rPr>
        <w:t>”. For shares you hold beneficially in the name of a broker, trustee or other nominee, you may change your vote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submitting new voting instructions to your broker, trustee or nominee.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Is my vote confidential?</w:t>
      </w:r>
    </w:p>
    <w:p>
      <w:pPr>
        <w:spacing w:after="0" w:line="154" w:lineRule="exact"/>
        <w:rPr>
          <w:sz w:val="20"/>
          <w:szCs w:val="20"/>
          <w:color w:val="auto"/>
        </w:rPr>
      </w:pPr>
    </w:p>
    <w:p>
      <w:pPr>
        <w:ind w:left="20" w:right="139"/>
        <w:spacing w:after="0" w:line="265" w:lineRule="auto"/>
        <w:rPr>
          <w:sz w:val="20"/>
          <w:szCs w:val="20"/>
          <w:color w:val="auto"/>
        </w:rPr>
      </w:pPr>
      <w:r>
        <w:rPr>
          <w:rFonts w:ascii="Times New Roman" w:cs="Times New Roman" w:eastAsia="Times New Roman" w:hAnsi="Times New Roman"/>
          <w:sz w:val="12"/>
          <w:szCs w:val="12"/>
          <w:color w:val="auto"/>
        </w:rPr>
        <w:t>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 (3) to facilitate a successful proxy solicitation. Occasionally, shareholders provide on their proxy card written comments, which are then forwarded to Calavo management.</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vote on each proposal</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the election of directors, you may vote "FOR" or "WITHHOLD AUTHORITY" with respect to each of the nominees.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the election of directors, you also may cumulate your votes as described in the question below titled, "</w:t>
      </w:r>
      <w:r>
        <w:rPr>
          <w:rFonts w:ascii="Times New Roman" w:cs="Times New Roman" w:eastAsia="Times New Roman" w:hAnsi="Times New Roman"/>
          <w:sz w:val="12"/>
          <w:szCs w:val="12"/>
          <w:i w:val="1"/>
          <w:iCs w:val="1"/>
          <w:color w:val="auto"/>
        </w:rPr>
        <w:t>Is cumulative voting permitted for the election of directors?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You may vote "FOR," "AGAINST" or "ABSTAIN" with respect to the proposal to ratify the appointment of our independent registered public accounting firm for the 2023 fiscal year.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You may vote "FOR," "AGAINST" or "ABSTAIN" with respect to the advisory vote on executive compensation.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10" w:lineRule="exact"/>
        <w:rPr>
          <w:sz w:val="20"/>
          <w:szCs w:val="20"/>
          <w:color w:val="auto"/>
        </w:rPr>
      </w:pPr>
    </w:p>
    <w:p>
      <w:pPr>
        <w:ind w:left="20" w:right="339"/>
        <w:spacing w:after="0" w:line="265" w:lineRule="auto"/>
        <w:rPr>
          <w:sz w:val="20"/>
          <w:szCs w:val="20"/>
          <w:color w:val="auto"/>
        </w:rPr>
      </w:pPr>
      <w:r>
        <w:rPr>
          <w:rFonts w:ascii="Times New Roman" w:cs="Times New Roman" w:eastAsia="Times New Roman" w:hAnsi="Times New Roman"/>
          <w:sz w:val="12"/>
          <w:szCs w:val="12"/>
          <w:color w:val="auto"/>
        </w:rPr>
        <w:t>If you provide specific instructions with regard to certain items, your shares will be voted as you instruct on such items. If you vote online or sign and return a proxy card or voting instruction card without giving specific instructions, your shares will be voted in accordance with the recommendations of the Board (FOR all of our nominees to the Board, FOR ratification of the appointment of our independent registered public accounting firm, and FOR the advisory approval of the compensation of Calavo’s named executive officers).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happens if a director nominee receives a greater number of “WITHHELD” votes than “FOR” votes</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20" w:right="19"/>
        <w:spacing w:after="0" w:line="257" w:lineRule="auto"/>
        <w:rPr>
          <w:sz w:val="20"/>
          <w:szCs w:val="20"/>
          <w:color w:val="auto"/>
        </w:rPr>
      </w:pPr>
      <w:r>
        <w:rPr>
          <w:rFonts w:ascii="Times New Roman" w:cs="Times New Roman" w:eastAsia="Times New Roman" w:hAnsi="Times New Roman"/>
          <w:sz w:val="12"/>
          <w:szCs w:val="12"/>
          <w:color w:val="auto"/>
        </w:rPr>
        <w:t>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voting requirement to approve each of the proposals</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20" w:right="19"/>
        <w:spacing w:after="0" w:line="265" w:lineRule="auto"/>
        <w:rPr>
          <w:sz w:val="20"/>
          <w:szCs w:val="20"/>
          <w:color w:val="auto"/>
        </w:rPr>
      </w:pPr>
      <w:r>
        <w:rPr>
          <w:rFonts w:ascii="Times New Roman" w:cs="Times New Roman" w:eastAsia="Times New Roman" w:hAnsi="Times New Roman"/>
          <w:sz w:val="12"/>
          <w:szCs w:val="12"/>
          <w:color w:val="auto"/>
        </w:rPr>
        <w:t>In the election of directors, the nine director candidates receiving the highest number of affirmative votes will be elected. Approval to ratify the appointment of our independent registered public accounting firm for the 2023 fiscal year, and approval of the advisory vote on executive compensation each requires the affirmative vote of a majority of those shares present in person or represented by proxy and voting on that proposal at the Annual Meeting.</w:t>
      </w:r>
    </w:p>
    <w:p>
      <w:pPr>
        <w:spacing w:after="0" w:line="119" w:lineRule="exact"/>
        <w:rPr>
          <w:sz w:val="20"/>
          <w:szCs w:val="20"/>
          <w:color w:val="auto"/>
        </w:rPr>
      </w:pPr>
    </w:p>
    <w:p>
      <w:pPr>
        <w:ind w:left="20" w:right="139"/>
        <w:spacing w:after="0" w:line="255" w:lineRule="auto"/>
        <w:rPr>
          <w:sz w:val="20"/>
          <w:szCs w:val="20"/>
          <w:color w:val="auto"/>
        </w:rPr>
      </w:pPr>
      <w:r>
        <w:rPr>
          <w:rFonts w:ascii="Times New Roman" w:cs="Times New Roman" w:eastAsia="Times New Roman" w:hAnsi="Times New Roman"/>
          <w:sz w:val="12"/>
          <w:szCs w:val="12"/>
          <w:color w:val="auto"/>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your shares on routine matters, but cannot vote your shares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ind w:left="20"/>
        <w:spacing w:after="0"/>
        <w:rPr>
          <w:sz w:val="20"/>
          <w:szCs w:val="20"/>
          <w:color w:val="auto"/>
        </w:rPr>
      </w:pPr>
      <w:r>
        <w:rPr>
          <w:rFonts w:ascii="Times New Roman" w:cs="Times New Roman" w:eastAsia="Times New Roman" w:hAnsi="Times New Roman"/>
          <w:sz w:val="12"/>
          <w:szCs w:val="12"/>
          <w:color w:val="auto"/>
        </w:rPr>
        <w:t>Broker non-votes and abstentions will not affect the outcome of any of the proposals to be voted upon.</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Which ballot measures are considered “routine” or “non-routine”?</w:t>
      </w:r>
    </w:p>
    <w:p>
      <w:pPr>
        <w:spacing w:after="0" w:line="154" w:lineRule="exact"/>
        <w:rPr>
          <w:sz w:val="20"/>
          <w:szCs w:val="20"/>
          <w:color w:val="auto"/>
        </w:rPr>
      </w:pPr>
    </w:p>
    <w:p>
      <w:pPr>
        <w:ind w:left="20" w:right="299"/>
        <w:spacing w:after="0" w:line="279" w:lineRule="auto"/>
        <w:rPr>
          <w:sz w:val="20"/>
          <w:szCs w:val="20"/>
          <w:color w:val="auto"/>
        </w:rPr>
      </w:pPr>
      <w:r>
        <w:rPr>
          <w:rFonts w:ascii="Times New Roman" w:cs="Times New Roman" w:eastAsia="Times New Roman" w:hAnsi="Times New Roman"/>
          <w:sz w:val="12"/>
          <w:szCs w:val="12"/>
          <w:color w:val="auto"/>
        </w:rPr>
        <w:t>The ratification of the appointment of Deloitte &amp; Touche LLP as the Company’s independent registered public accounting firm for 2023 (Proposal No. 2) is considered routine under applicable rules. A broker or other nominee may generally vote on routine matters, and therefore no broker non-votes are expected to exist in connection with Proposal No. 2.</w:t>
      </w:r>
    </w:p>
    <w:p>
      <w:pPr>
        <w:spacing w:after="0" w:line="111" w:lineRule="exact"/>
        <w:rPr>
          <w:sz w:val="20"/>
          <w:szCs w:val="20"/>
          <w:color w:val="auto"/>
        </w:rPr>
      </w:pPr>
    </w:p>
    <w:p>
      <w:pPr>
        <w:ind w:left="20" w:right="459"/>
        <w:spacing w:after="0" w:line="279" w:lineRule="auto"/>
        <w:rPr>
          <w:sz w:val="20"/>
          <w:szCs w:val="20"/>
          <w:color w:val="auto"/>
        </w:rPr>
      </w:pPr>
      <w:r>
        <w:rPr>
          <w:rFonts w:ascii="Times New Roman" w:cs="Times New Roman" w:eastAsia="Times New Roman" w:hAnsi="Times New Roman"/>
          <w:sz w:val="12"/>
          <w:szCs w:val="12"/>
          <w:color w:val="auto"/>
        </w:rPr>
        <w:t>The election of directors (Proposal No. 1), and the advisory vote on executive compensation (Proposal No. 3) are considered non-routine under applicable rules. A broker or other nominee cannot vote without instructions on non-routine matters and, as a result, there may be broker non-votes on Proposals Nos. 1 and 3.</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Is cumulative voting permitted for the election of directors</w:t>
      </w:r>
      <w:r>
        <w:rPr>
          <w:rFonts w:ascii="Times New Roman" w:cs="Times New Roman" w:eastAsia="Times New Roman" w:hAnsi="Times New Roman"/>
          <w:sz w:val="12"/>
          <w:szCs w:val="12"/>
          <w:i w:val="1"/>
          <w:iCs w:val="1"/>
          <w:color w:val="auto"/>
        </w:rPr>
        <w:t>?</w:t>
      </w:r>
    </w:p>
    <w:p>
      <w:pPr>
        <w:spacing w:after="0" w:line="163" w:lineRule="exact"/>
        <w:rPr>
          <w:sz w:val="20"/>
          <w:szCs w:val="20"/>
          <w:color w:val="auto"/>
        </w:rPr>
      </w:pPr>
    </w:p>
    <w:p>
      <w:pPr>
        <w:ind w:left="20" w:right="19"/>
        <w:spacing w:after="0" w:line="265" w:lineRule="auto"/>
        <w:rPr>
          <w:sz w:val="20"/>
          <w:szCs w:val="20"/>
          <w:color w:val="auto"/>
        </w:rPr>
      </w:pPr>
      <w:r>
        <w:rPr>
          <w:rFonts w:ascii="Times New Roman" w:cs="Times New Roman" w:eastAsia="Times New Roman" w:hAnsi="Times New Roman"/>
          <w:sz w:val="12"/>
          <w:szCs w:val="12"/>
          <w:color w:val="auto"/>
        </w:rPr>
        <w:t>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9 directors to be elected at the Annual Meeting, you may allocate 900 "FOR" votes (9 times 100) among as few or as many of the 9</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nominees to be voted on at the Annual Meeting as you choose. You may not cumulate your votes against a nominee. The nine nominees receiving the highest number of votes will be elected.</w:t>
      </w:r>
    </w:p>
    <w:p>
      <w:pPr>
        <w:spacing w:after="0" w:line="120" w:lineRule="exact"/>
        <w:rPr>
          <w:sz w:val="20"/>
          <w:szCs w:val="20"/>
          <w:color w:val="auto"/>
        </w:rPr>
      </w:pPr>
    </w:p>
    <w:p>
      <w:pPr>
        <w:ind w:left="20" w:right="39"/>
        <w:spacing w:after="0" w:line="255" w:lineRule="auto"/>
        <w:rPr>
          <w:sz w:val="20"/>
          <w:szCs w:val="20"/>
          <w:color w:val="auto"/>
        </w:rPr>
      </w:pPr>
      <w:r>
        <w:rPr>
          <w:rFonts w:ascii="Times New Roman" w:cs="Times New Roman" w:eastAsia="Times New Roman" w:hAnsi="Times New Roman"/>
          <w:sz w:val="12"/>
          <w:szCs w:val="12"/>
          <w:color w:val="auto"/>
        </w:rPr>
        <w:t xml:space="preserve">If you are a shareholder of record and choose to cumulate your votes, you will need to submit a proxy card or, if you vote in person at the Annual Meeting, submit a ballot and make an explicit statement of your intent to cumulate your votes, either by so indicating in writing on the proxy card or by indicating in writing on your ballot when voting at the Annual Meeting. Note that online voting does not support cumulative voting for directors by shareholders of record. Note also that cumulative voting for directors will not be allowed via the live webcast. Shareholders who wish to vote cumulatively for directors should provide proxy instructions before the Annual Meeting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compared to voting in person at the Annual Meeting. Shareholders therefore need not attend the Annual Meeting in person simply to vote cumulatively for directors. If you hold shares beneficially through a broker, trustee or other nominee and wish to cumulate votes, you should contact your broker, trustee or nominee.</w:t>
      </w:r>
    </w:p>
    <w:p>
      <w:pPr>
        <w:spacing w:after="0" w:line="135" w:lineRule="exact"/>
        <w:rPr>
          <w:sz w:val="20"/>
          <w:szCs w:val="20"/>
          <w:color w:val="auto"/>
        </w:rPr>
      </w:pPr>
    </w:p>
    <w:p>
      <w:pPr>
        <w:jc w:val="both"/>
        <w:ind w:left="20" w:right="159"/>
        <w:spacing w:after="0" w:line="265" w:lineRule="auto"/>
        <w:rPr>
          <w:sz w:val="20"/>
          <w:szCs w:val="20"/>
          <w:color w:val="auto"/>
        </w:rPr>
      </w:pPr>
      <w:r>
        <w:rPr>
          <w:rFonts w:ascii="Times New Roman" w:cs="Times New Roman" w:eastAsia="Times New Roman" w:hAnsi="Times New Roman"/>
          <w:sz w:val="12"/>
          <w:szCs w:val="12"/>
          <w:color w:val="auto"/>
        </w:rPr>
        <w:t>If you vote online or by signing and returning a proxy card or voting instruction card with no further instructions, Steven Hollister and J. Link Leavens, as proxy holders, may cumulate and cast your votes in favor of the election of some or all of the applicable nominees in their sole discretion, except that none of your votes will be cast for any nominee as to whom you withhold your vote.</w:t>
      </w:r>
    </w:p>
    <w:p>
      <w:pPr>
        <w:spacing w:after="0" w:line="128" w:lineRule="exact"/>
        <w:rPr>
          <w:sz w:val="20"/>
          <w:szCs w:val="20"/>
          <w:color w:val="auto"/>
        </w:rPr>
      </w:pPr>
    </w:p>
    <w:p>
      <w:pPr>
        <w:jc w:val="both"/>
        <w:ind w:left="20" w:right="159"/>
        <w:spacing w:after="0" w:line="279" w:lineRule="auto"/>
        <w:rPr>
          <w:sz w:val="20"/>
          <w:szCs w:val="20"/>
          <w:color w:val="auto"/>
        </w:rPr>
      </w:pPr>
      <w:r>
        <w:rPr>
          <w:rFonts w:ascii="Times New Roman" w:cs="Times New Roman" w:eastAsia="Times New Roman" w:hAnsi="Times New Roman"/>
          <w:sz w:val="12"/>
          <w:szCs w:val="12"/>
          <w:color w:val="auto"/>
        </w:rPr>
        <w:t>Cumulative voting applies only to the election of directors. For all other matters, each share of common stock outstanding as of the close of business on the Record Date for the Annual Meeting, is entitled to one vote.</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Who will serve as inspector of elections?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inspector of elections will be a representative from investor communication company American Election Services, LLC.</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Who will bear the cost of soliciting votes for the Annual Meeting?</w:t>
      </w:r>
    </w:p>
    <w:p>
      <w:pPr>
        <w:spacing w:after="0" w:line="163"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We are making this solicitation and will pay substantially all of the costs of preparing, assembling, printing, mailing and distributing these proxy materials and soliciting votes. We have retained Broadridge Financial Solutions, to assist with the distribution and tabulation of proxies from the shareholders of record.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Where can I find the voting results of the Annual Meeting?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intend to announce preliminary voting results at the Annual Meeting and publish final results on a Form 8-K filed with the SEC within four business days of the Annual Meeting.</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if I have questions for Calavo’s transfer agent?</w:t>
      </w:r>
    </w:p>
    <w:p>
      <w:pPr>
        <w:spacing w:after="0" w:line="163"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Please contact our transfer agent, contact information listed below, with questions concerning stock certificates, dividend checks, transfer of ownership or other matters pertaining to your stock account.</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Computershare Trust Company, N.A.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PO Box 505000</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Louisville, KY 40233-5000</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Overnight Delivery:</w:t>
      </w:r>
    </w:p>
    <w:p>
      <w:pPr>
        <w:ind w:left="20"/>
        <w:spacing w:after="0" w:line="198" w:lineRule="auto"/>
        <w:rPr>
          <w:sz w:val="20"/>
          <w:szCs w:val="20"/>
          <w:color w:val="auto"/>
        </w:rPr>
      </w:pPr>
      <w:r>
        <w:rPr>
          <w:rFonts w:ascii="Times New Roman" w:cs="Times New Roman" w:eastAsia="Times New Roman" w:hAnsi="Times New Roman"/>
          <w:sz w:val="12"/>
          <w:szCs w:val="12"/>
          <w:color w:val="auto"/>
        </w:rPr>
        <w:t>462 South 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Street Suite 1600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Louisville, KY 40202</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(800) 962-4284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Foreign Holders: (781) 575-3120</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Shareholder website: www.computershare.com/investor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Shareholder online inquiries: www-us.computershare.com/Investor/Contact</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Annual Meeting Information</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purpose of the Annual Meeting?</w:t>
      </w:r>
    </w:p>
    <w:p>
      <w:pPr>
        <w:spacing w:after="0" w:line="154" w:lineRule="exact"/>
        <w:rPr>
          <w:sz w:val="20"/>
          <w:szCs w:val="20"/>
          <w:color w:val="auto"/>
        </w:rPr>
      </w:pPr>
    </w:p>
    <w:p>
      <w:pPr>
        <w:ind w:left="20" w:right="519"/>
        <w:spacing w:after="0" w:line="279" w:lineRule="auto"/>
        <w:rPr>
          <w:sz w:val="20"/>
          <w:szCs w:val="20"/>
          <w:color w:val="auto"/>
        </w:rPr>
      </w:pPr>
      <w:r>
        <w:rPr>
          <w:rFonts w:ascii="Times New Roman" w:cs="Times New Roman" w:eastAsia="Times New Roman" w:hAnsi="Times New Roman"/>
          <w:sz w:val="12"/>
          <w:szCs w:val="12"/>
          <w:color w:val="auto"/>
        </w:rPr>
        <w:t>At the Annual Meeting, shareholders will act upon the matters outlined in the notice of meeting on the cover page of this proxy statement, including the election of directors, the ratification of our independent registered public accounting firm, and an advisory vote on executive compensation.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Who can attend the meeting?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All shareholders as of the Record Date, or their duly appointed proxies, may attend the meeting or participate virtually.</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Please contact 2022proxy@calavo.com if you plan on attending in person.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many shares must be present or represented to conduct business at the Annual Meeting?</w:t>
      </w:r>
    </w:p>
    <w:p>
      <w:pPr>
        <w:spacing w:after="0" w:line="109"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Times New Roman" w:cs="Times New Roman" w:eastAsia="Times New Roman" w:hAnsi="Times New Roman"/>
          <w:sz w:val="12"/>
          <w:szCs w:val="12"/>
          <w:i w:val="1"/>
          <w:iCs w:val="1"/>
          <w:color w:val="auto"/>
        </w:rPr>
        <w:t>What is the voting requirement to approve each of the proposals?</w:t>
      </w:r>
      <w:r>
        <w:rPr>
          <w:rFonts w:ascii="Times New Roman" w:cs="Times New Roman" w:eastAsia="Times New Roman" w:hAnsi="Times New Roman"/>
          <w:sz w:val="12"/>
          <w:szCs w:val="12"/>
          <w:color w:val="auto"/>
        </w:rPr>
        <w:t>” are counted for the purpose of determining the presence of a quorum.</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Shareholder Proposals, Director Nominations and Related Bylaw Provisions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deadline to propose actions for consideration at next year's Annual Meeting of shareholders?</w:t>
      </w:r>
    </w:p>
    <w:p>
      <w:pPr>
        <w:spacing w:after="0" w:line="109" w:lineRule="exact"/>
        <w:rPr>
          <w:sz w:val="20"/>
          <w:szCs w:val="20"/>
          <w:color w:val="auto"/>
        </w:rPr>
      </w:pPr>
    </w:p>
    <w:p>
      <w:pPr>
        <w:ind w:left="20" w:right="39"/>
        <w:spacing w:after="0" w:line="255" w:lineRule="auto"/>
        <w:rPr>
          <w:sz w:val="20"/>
          <w:szCs w:val="20"/>
          <w:color w:val="auto"/>
        </w:rPr>
      </w:pPr>
      <w:r>
        <w:rPr>
          <w:rFonts w:ascii="Times New Roman" w:cs="Times New Roman" w:eastAsia="Times New Roman" w:hAnsi="Times New Roman"/>
          <w:sz w:val="12"/>
          <w:szCs w:val="12"/>
          <w:color w:val="auto"/>
        </w:rPr>
        <w:t>You may submit proposals for consideration at future shareholder meetings. For a shareholder proposal to be considered for inclusion in our proxy statement for the Annual Meeting next year, the written proposal must be received by our Corporate Secretary, at our principal executive offices, no later than November 7, 2023 and must otherwise comply with SEC rules relating to stockholder proposals, including with respect to the types of stockholder proposals that are appropriate for inclusion in a proxy statement. Proposals we receive after that date will not be included in the Company’s proxy statement for the 2024 annual meeting of shareholders. If the date of next year's Annual 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emailed to 2024proxy@calavo.com.</w:t>
      </w:r>
    </w:p>
    <w:p>
      <w:pPr>
        <w:spacing w:after="0" w:line="81" w:lineRule="exact"/>
        <w:rPr>
          <w:sz w:val="20"/>
          <w:szCs w:val="20"/>
          <w:color w:val="auto"/>
        </w:rPr>
      </w:pPr>
    </w:p>
    <w:p>
      <w:pPr>
        <w:ind w:left="20" w:right="199"/>
        <w:spacing w:after="0" w:line="260" w:lineRule="auto"/>
        <w:rPr>
          <w:sz w:val="20"/>
          <w:szCs w:val="20"/>
          <w:color w:val="auto"/>
        </w:rPr>
      </w:pPr>
      <w:r>
        <w:rPr>
          <w:rFonts w:ascii="Times New Roman" w:cs="Times New Roman" w:eastAsia="Times New Roman" w:hAnsi="Times New Roman"/>
          <w:sz w:val="12"/>
          <w:szCs w:val="12"/>
          <w:color w:val="auto"/>
        </w:rPr>
        <w:t>In accordance with the advance notice provisions of our bylaws, notice of any proposal that a shareholder intends to present at the 2024 Annual Meeting of shareholders, but which the shareholder does not intend to have included in our proxy statement for next year’s Annual Meeting, as well as any director nominations by a shareholder, must be delivered to our Corporate Secretary at the email address specified in the preceding paragraph not earlier than the close of business on December 28, 2023 and not later than the close of business on January 27, 2024. Each such notice must be made by a</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shareholder of record and must also contain the information specified in our bylaws for director nominations and other shareholder proposals.</w:t>
      </w:r>
    </w:p>
    <w:p>
      <w:pPr>
        <w:spacing w:after="0" w:line="150" w:lineRule="exact"/>
        <w:rPr>
          <w:sz w:val="20"/>
          <w:szCs w:val="20"/>
          <w:color w:val="auto"/>
        </w:rPr>
      </w:pPr>
    </w:p>
    <w:p>
      <w:pPr>
        <w:jc w:val="both"/>
        <w:ind w:left="20" w:right="99"/>
        <w:spacing w:after="0" w:line="265" w:lineRule="auto"/>
        <w:rPr>
          <w:sz w:val="20"/>
          <w:szCs w:val="20"/>
          <w:color w:val="auto"/>
        </w:rPr>
      </w:pPr>
      <w:r>
        <w:rPr>
          <w:rFonts w:ascii="Times New Roman" w:cs="Times New Roman" w:eastAsia="Times New Roman" w:hAnsi="Times New Roman"/>
          <w:sz w:val="12"/>
          <w:szCs w:val="12"/>
          <w:color w:val="auto"/>
        </w:rPr>
        <w:t>The deadline for providing notice to the Company under Rule 14a-19, the SEC’s universal proxy rule, of a shareholder’s intent to solicit proxies in support of nominees submitted under the company’s advance notice bylaws for our 2024 annual meeting is February 26, 2024. Shareholders intending to provide such a notice must comply with all requirements of Rule 14a-19 in addition to all requirements under our bylaws, including the timing of notice requirements described above.</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recommend or nominate individuals to serve as directors?</w:t>
      </w:r>
    </w:p>
    <w:p>
      <w:pPr>
        <w:spacing w:after="0" w:line="109"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You may propose director candidates for consideration by the Board's Nominating, Corporate Governance and Environmental Social and Governance Committee (the “ESG Committee”). Any such recommendations should include the nominee's name and qualifications for Board membership and should be directed to our Corporate Secretary at the address of our principal executive offices set forth above.</w:t>
      </w:r>
    </w:p>
    <w:p>
      <w:pPr>
        <w:spacing w:after="0" w:line="119"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 xml:space="preserve">In addition, our bylaws permit a shareholder to nominate directors for election at an annual shareholders’ meeting, but only if the shareholder complies with the procedures that are set forth in the bylaws. See </w:t>
      </w:r>
      <w:r>
        <w:rPr>
          <w:rFonts w:ascii="Times New Roman" w:cs="Times New Roman" w:eastAsia="Times New Roman" w:hAnsi="Times New Roman"/>
          <w:sz w:val="12"/>
          <w:szCs w:val="12"/>
          <w:i w:val="1"/>
          <w:iCs w:val="1"/>
          <w:color w:val="auto"/>
        </w:rPr>
        <w:t>“What is the deadline to propose actions for consideration at next year's Annual Meeting of shareholders?”</w:t>
      </w:r>
      <w:r>
        <w:rPr>
          <w:rFonts w:ascii="Times New Roman" w:cs="Times New Roman" w:eastAsia="Times New Roman" w:hAnsi="Times New Roman"/>
          <w:sz w:val="12"/>
          <w:szCs w:val="12"/>
          <w:color w:val="auto"/>
        </w:rPr>
        <w:t xml:space="preserve"> above.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obtain a copy of Calavo’s Bylaw provisions regarding shareholder proposals and director nominations?</w:t>
      </w:r>
    </w:p>
    <w:p>
      <w:pPr>
        <w:spacing w:after="0" w:line="109" w:lineRule="exact"/>
        <w:rPr>
          <w:sz w:val="20"/>
          <w:szCs w:val="20"/>
          <w:color w:val="auto"/>
        </w:rPr>
      </w:pPr>
    </w:p>
    <w:p>
      <w:pPr>
        <w:ind w:left="20" w:right="259"/>
        <w:spacing w:after="0" w:line="279" w:lineRule="auto"/>
        <w:rPr>
          <w:sz w:val="20"/>
          <w:szCs w:val="20"/>
          <w:color w:val="auto"/>
        </w:rPr>
      </w:pPr>
      <w:r>
        <w:rPr>
          <w:rFonts w:ascii="Times New Roman" w:cs="Times New Roman" w:eastAsia="Times New Roman" w:hAnsi="Times New Roman"/>
          <w:sz w:val="12"/>
          <w:szCs w:val="12"/>
          <w:color w:val="auto"/>
        </w:rPr>
        <w:t>Please email 2023proxy@calavo.com for a copy of the relevant bylaw provisions regarding the requirements for nominating director candidates and making shareholder proposals. In addition, our bylaws are included as an exhibit in our filed form 10-K filed with the SEC on December 20, 2022.</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communicate with Calavo's Board of Directors?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You may submit an e-mail to our Board at boardmembers@calavo.com. All directors have access to this e-mail address.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GOVERNANCE PRINCIPLES AND BOARD MATTERS</w:t>
      </w:r>
    </w:p>
    <w:p>
      <w:pPr>
        <w:spacing w:after="0" w:line="109" w:lineRule="exact"/>
        <w:rPr>
          <w:sz w:val="20"/>
          <w:szCs w:val="20"/>
          <w:color w:val="auto"/>
        </w:rPr>
      </w:pPr>
    </w:p>
    <w:p>
      <w:pPr>
        <w:ind w:left="20" w:right="199"/>
        <w:spacing w:after="0" w:line="265" w:lineRule="auto"/>
        <w:rPr>
          <w:sz w:val="20"/>
          <w:szCs w:val="20"/>
          <w:color w:val="auto"/>
        </w:rPr>
      </w:pPr>
      <w:r>
        <w:rPr>
          <w:rFonts w:ascii="Times New Roman" w:cs="Times New Roman" w:eastAsia="Times New Roman" w:hAnsi="Times New Roman"/>
          <w:sz w:val="12"/>
          <w:szCs w:val="12"/>
          <w:color w:val="auto"/>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of our directors, officers and employees. Copies of our code of business conduct and ethics and our Board committee charters are posted on our website at </w:t>
      </w:r>
      <w:r>
        <w:rPr>
          <w:rFonts w:ascii="Times New Roman" w:cs="Times New Roman" w:eastAsia="Times New Roman" w:hAnsi="Times New Roman"/>
          <w:sz w:val="12"/>
          <w:szCs w:val="12"/>
          <w:i w:val="1"/>
          <w:iCs w:val="1"/>
          <w:color w:val="auto"/>
        </w:rPr>
        <w:t>http://www.calavo.com</w:t>
      </w:r>
      <w:r>
        <w:rPr>
          <w:rFonts w:ascii="Times New Roman" w:cs="Times New Roman" w:eastAsia="Times New Roman" w:hAnsi="Times New Roman"/>
          <w:sz w:val="12"/>
          <w:szCs w:val="12"/>
          <w:color w:val="auto"/>
        </w:rPr>
        <w:t xml:space="preserve"> under “Investor Relations – Corporate Governance”.</w:t>
      </w:r>
    </w:p>
    <w:p>
      <w:pPr>
        <w:spacing w:after="0" w:line="74" w:lineRule="exact"/>
        <w:rPr>
          <w:sz w:val="20"/>
          <w:szCs w:val="20"/>
          <w:color w:val="auto"/>
        </w:rPr>
      </w:pPr>
    </w:p>
    <w:p>
      <w:pPr>
        <w:ind w:left="20" w:right="1279"/>
        <w:spacing w:after="0" w:line="422" w:lineRule="auto"/>
        <w:rPr>
          <w:sz w:val="20"/>
          <w:szCs w:val="20"/>
          <w:color w:val="auto"/>
        </w:rPr>
      </w:pPr>
      <w:r>
        <w:rPr>
          <w:rFonts w:ascii="Times New Roman" w:cs="Times New Roman" w:eastAsia="Times New Roman" w:hAnsi="Times New Roman"/>
          <w:sz w:val="12"/>
          <w:szCs w:val="12"/>
          <w:color w:val="auto"/>
        </w:rPr>
        <w:t xml:space="preserve">Shareholders may request free printed copies of our code of business conduct and ethics and our Board committee charters by emailing 2023proxy@calavo.com. </w:t>
      </w:r>
      <w:r>
        <w:rPr>
          <w:rFonts w:ascii="Times New Roman" w:cs="Times New Roman" w:eastAsia="Times New Roman" w:hAnsi="Times New Roman"/>
          <w:sz w:val="12"/>
          <w:szCs w:val="12"/>
          <w:b w:val="1"/>
          <w:bCs w:val="1"/>
          <w:color w:val="auto"/>
        </w:rPr>
        <w:t>Board Structure, Independence of Directors and Committee Composition</w:t>
      </w:r>
    </w:p>
    <w:p>
      <w:pPr>
        <w:spacing w:after="0" w:line="1" w:lineRule="exact"/>
        <w:rPr>
          <w:sz w:val="20"/>
          <w:szCs w:val="20"/>
          <w:color w:val="auto"/>
        </w:rPr>
      </w:pPr>
    </w:p>
    <w:p>
      <w:pPr>
        <w:ind w:left="20" w:right="159"/>
        <w:spacing w:after="0" w:line="279" w:lineRule="auto"/>
        <w:rPr>
          <w:sz w:val="20"/>
          <w:szCs w:val="20"/>
          <w:color w:val="auto"/>
        </w:rPr>
      </w:pPr>
      <w:r>
        <w:rPr>
          <w:rFonts w:ascii="Times New Roman" w:cs="Times New Roman" w:eastAsia="Times New Roman" w:hAnsi="Times New Roman"/>
          <w:sz w:val="12"/>
          <w:szCs w:val="12"/>
          <w:color w:val="auto"/>
        </w:rPr>
        <w:t>As of the date of this proxy statement, our Board has eleven directors. John M. Hunt and Donald M. Sanders declined to stand for re-election. The Board has recommended the election of the remaining nine director nominees who are identified in this proxy statement, each of whom currently is a director of Calavo.</w:t>
      </w:r>
    </w:p>
    <w:p>
      <w:pPr>
        <w:spacing w:after="0" w:line="66" w:lineRule="exact"/>
        <w:rPr>
          <w:sz w:val="20"/>
          <w:szCs w:val="20"/>
          <w:color w:val="auto"/>
        </w:rPr>
      </w:pPr>
    </w:p>
    <w:p>
      <w:pPr>
        <w:ind w:left="20" w:right="199"/>
        <w:spacing w:after="0" w:line="260" w:lineRule="auto"/>
        <w:rPr>
          <w:sz w:val="20"/>
          <w:szCs w:val="20"/>
          <w:color w:val="auto"/>
        </w:rPr>
      </w:pPr>
      <w:r>
        <w:rPr>
          <w:rFonts w:ascii="Times New Roman" w:cs="Times New Roman" w:eastAsia="Times New Roman" w:hAnsi="Times New Roman"/>
          <w:sz w:val="12"/>
          <w:szCs w:val="12"/>
          <w:color w:val="auto"/>
        </w:rPr>
        <w:t>The Board has determined that each of the following seven non-employee directors standing for election is independent under applicable NASDAQ rules: Marc L. Brown, Michael A. DiGregorio, James Helin, Kathleen Holmgren, Adriana Mendizabal, Steven Hollister, and Farha Aslam. In determining that Mr. Hollister and Ms. Aslam are independent, the Board considered their former service as interim executive officers, as well as the compensation received in connection with such service, and determined that such service and compensation does not interfere with their exercise of independent judgment in carrying out the responsibilities of a director.</w:t>
      </w:r>
    </w:p>
    <w:p>
      <w:pPr>
        <w:spacing w:after="0" w:line="77" w:lineRule="exact"/>
        <w:rPr>
          <w:sz w:val="20"/>
          <w:szCs w:val="20"/>
          <w:color w:val="auto"/>
        </w:rPr>
      </w:pPr>
    </w:p>
    <w:p>
      <w:pPr>
        <w:ind w:left="20" w:right="99"/>
        <w:spacing w:after="0" w:line="257" w:lineRule="auto"/>
        <w:rPr>
          <w:sz w:val="20"/>
          <w:szCs w:val="20"/>
          <w:color w:val="auto"/>
        </w:rPr>
      </w:pPr>
      <w:r>
        <w:rPr>
          <w:rFonts w:ascii="Times New Roman" w:cs="Times New Roman" w:eastAsia="Times New Roman" w:hAnsi="Times New Roman"/>
          <w:sz w:val="12"/>
          <w:szCs w:val="12"/>
          <w:color w:val="auto"/>
        </w:rPr>
        <w:t>The Board has the following four committees: (1) Executive, (2) Audit, (3) Nominating, Corporate Governance and ESG and (4) Compensation. The membership during the last fiscal year and through the date of this proxy statement, and the function of each of the committees, are described below. During fiscal year 2022, the Board held eight meetings. Each director attended at least 75% of all Board and applicable committee meetings for which he or she served as a committee member during the period of time that each such director was a member of the Board. Directors are encouraged by the Board to attend the Annual Meetings of Calavo’s shareholders, and all of our directors attended the 2022 Annual Meeting of shareholders in person or virtually.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65" w:lineRule="exact"/>
        <w:rPr>
          <w:sz w:val="20"/>
          <w:szCs w:val="20"/>
          <w:color w:val="auto"/>
        </w:rPr>
      </w:pPr>
    </w:p>
    <w:p>
      <w:pPr>
        <w:ind w:left="20" w:right="39"/>
        <w:spacing w:after="0" w:line="257" w:lineRule="auto"/>
        <w:rPr>
          <w:sz w:val="20"/>
          <w:szCs w:val="20"/>
          <w:color w:val="auto"/>
        </w:rPr>
      </w:pPr>
      <w:r>
        <w:rPr>
          <w:rFonts w:ascii="Times New Roman" w:cs="Times New Roman" w:eastAsia="Times New Roman" w:hAnsi="Times New Roman"/>
          <w:sz w:val="12"/>
          <w:szCs w:val="12"/>
          <w:color w:val="auto"/>
        </w:rPr>
        <w:t>The Board has determined that each current member of the Audit Committee, Nominating, Corporate Governance and ESG Committee, and Compensation Committee is independent within the meaning of applicable NASDAQ rules, and that each current member of the Audit Committee is independent within the meaning of applicable rules of the SEC and NASDAQ regarding the independence of audit committee members and meets NASDAQ’s financial knowledge and sophistication requirement. The Board has also determined that each member of the Compensation Committee is a “non-employee director” within the meaning of applicable SEC rules and is independent within the meaning of applicable NASDAQ rules regarding the independence of compensation committee members.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Executive</w:t>
            </w: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Audit</w:t>
            </w: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Nominating, Corporate Governance and</w:t>
            </w: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0" w:type="dxa"/>
            <w:vAlign w:val="bottom"/>
          </w:tcPr>
          <w:p>
            <w:pPr>
              <w:spacing w:after="0"/>
              <w:rPr>
                <w:sz w:val="1"/>
                <w:szCs w:val="1"/>
                <w:color w:val="auto"/>
              </w:rPr>
            </w:pPr>
          </w:p>
        </w:tc>
      </w:tr>
      <w:tr>
        <w:trPr>
          <w:trHeight w:val="99"/>
        </w:trPr>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8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9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89"/>
              </w:rPr>
              <w:t>ESG</w:t>
            </w:r>
          </w:p>
        </w:tc>
        <w:tc>
          <w:tcPr>
            <w:tcW w:w="1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60" w:type="dxa"/>
            <w:vAlign w:val="bottom"/>
            <w:gridSpan w:val="3"/>
            <w:vMerge w:val="continue"/>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Committee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Committee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00" w:type="dxa"/>
            <w:vAlign w:val="bottom"/>
            <w:tcBorders>
              <w:top w:val="single" w:sz="8" w:color="auto"/>
            </w:tcBorders>
            <w:shd w:val="clear" w:color="auto" w:fill="CCFFEE"/>
          </w:tcPr>
          <w:p>
            <w:pPr>
              <w:spacing w:after="0" w:line="133" w:lineRule="exact"/>
              <w:rPr>
                <w:sz w:val="20"/>
                <w:szCs w:val="20"/>
                <w:color w:val="auto"/>
              </w:rPr>
            </w:pPr>
            <w:r>
              <w:rPr>
                <w:rFonts w:ascii="Times New Roman" w:cs="Times New Roman" w:eastAsia="Times New Roman" w:hAnsi="Times New Roman"/>
                <w:sz w:val="12"/>
                <w:szCs w:val="12"/>
                <w:color w:val="auto"/>
              </w:rPr>
              <w:t>Farha Aslam</w:t>
            </w:r>
          </w:p>
        </w:tc>
        <w:tc>
          <w:tcPr>
            <w:tcW w:w="140" w:type="dxa"/>
            <w:vAlign w:val="bottom"/>
            <w:tcBorders>
              <w:top w:val="single" w:sz="8" w:color="CCFFEE"/>
            </w:tcBorders>
            <w:shd w:val="clear" w:color="auto" w:fill="CCFFEE"/>
          </w:tcPr>
          <w:p>
            <w:pPr>
              <w:spacing w:after="0"/>
              <w:rPr>
                <w:sz w:val="11"/>
                <w:szCs w:val="11"/>
                <w:color w:val="auto"/>
              </w:rPr>
            </w:pPr>
          </w:p>
        </w:tc>
        <w:tc>
          <w:tcPr>
            <w:tcW w:w="680" w:type="dxa"/>
            <w:vAlign w:val="bottom"/>
            <w:tcBorders>
              <w:top w:val="single" w:sz="8" w:color="auto"/>
            </w:tcBorders>
            <w:shd w:val="clear" w:color="auto" w:fill="CCFFEE"/>
          </w:tcPr>
          <w:p>
            <w:pPr>
              <w:spacing w:after="0"/>
              <w:rPr>
                <w:sz w:val="11"/>
                <w:szCs w:val="11"/>
                <w:color w:val="auto"/>
              </w:rPr>
            </w:pPr>
          </w:p>
        </w:tc>
        <w:tc>
          <w:tcPr>
            <w:tcW w:w="160" w:type="dxa"/>
            <w:vAlign w:val="bottom"/>
            <w:tcBorders>
              <w:top w:val="single" w:sz="8" w:color="CCFFEE"/>
            </w:tcBorders>
            <w:shd w:val="clear" w:color="auto" w:fill="CCFFEE"/>
          </w:tcPr>
          <w:p>
            <w:pPr>
              <w:spacing w:after="0"/>
              <w:rPr>
                <w:sz w:val="11"/>
                <w:szCs w:val="11"/>
                <w:color w:val="auto"/>
              </w:rPr>
            </w:pPr>
          </w:p>
        </w:tc>
        <w:tc>
          <w:tcPr>
            <w:tcW w:w="680" w:type="dxa"/>
            <w:vAlign w:val="bottom"/>
            <w:tcBorders>
              <w:top w:val="single" w:sz="8" w:color="auto"/>
            </w:tcBorders>
            <w:shd w:val="clear" w:color="auto" w:fill="CCFFEE"/>
          </w:tcPr>
          <w:p>
            <w:pPr>
              <w:spacing w:after="0"/>
              <w:rPr>
                <w:sz w:val="11"/>
                <w:szCs w:val="11"/>
                <w:color w:val="auto"/>
              </w:rPr>
            </w:pPr>
          </w:p>
        </w:tc>
        <w:tc>
          <w:tcPr>
            <w:tcW w:w="140" w:type="dxa"/>
            <w:vAlign w:val="bottom"/>
            <w:tcBorders>
              <w:top w:val="single" w:sz="8" w:color="CCFFEE"/>
            </w:tcBorders>
            <w:shd w:val="clear" w:color="auto" w:fill="CCFFEE"/>
          </w:tcPr>
          <w:p>
            <w:pPr>
              <w:spacing w:after="0"/>
              <w:rPr>
                <w:sz w:val="11"/>
                <w:szCs w:val="11"/>
                <w:color w:val="auto"/>
              </w:rPr>
            </w:pPr>
          </w:p>
        </w:tc>
        <w:tc>
          <w:tcPr>
            <w:tcW w:w="1780" w:type="dxa"/>
            <w:vAlign w:val="bottom"/>
            <w:tcBorders>
              <w:top w:val="single" w:sz="8" w:color="auto"/>
            </w:tcBorders>
            <w:shd w:val="clear" w:color="auto" w:fill="CCFFEE"/>
          </w:tcPr>
          <w:p>
            <w:pPr>
              <w:spacing w:after="0"/>
              <w:rPr>
                <w:sz w:val="11"/>
                <w:szCs w:val="11"/>
                <w:color w:val="auto"/>
              </w:rPr>
            </w:pPr>
          </w:p>
        </w:tc>
        <w:tc>
          <w:tcPr>
            <w:tcW w:w="140" w:type="dxa"/>
            <w:vAlign w:val="bottom"/>
            <w:tcBorders>
              <w:top w:val="single" w:sz="8" w:color="CCFFEE"/>
            </w:tcBorders>
            <w:shd w:val="clear" w:color="auto" w:fill="CCFFEE"/>
          </w:tcPr>
          <w:p>
            <w:pPr>
              <w:spacing w:after="0"/>
              <w:rPr>
                <w:sz w:val="11"/>
                <w:szCs w:val="11"/>
                <w:color w:val="auto"/>
              </w:rPr>
            </w:pPr>
          </w:p>
        </w:tc>
        <w:tc>
          <w:tcPr>
            <w:tcW w:w="1400" w:type="dxa"/>
            <w:vAlign w:val="bottom"/>
            <w:tcBorders>
              <w:top w:val="single" w:sz="8" w:color="auto"/>
            </w:tcBorders>
            <w:shd w:val="clear" w:color="auto" w:fill="CCFFEE"/>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CCFFEE"/>
            </w:tcBorders>
            <w:shd w:val="clear" w:color="auto" w:fill="CCFFE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Marc L. Brown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Michael A. DiGregorio</w:t>
            </w:r>
          </w:p>
        </w:tc>
        <w:tc>
          <w:tcPr>
            <w:tcW w:w="68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FFEE"/>
          </w:tcPr>
          <w:p>
            <w:pPr>
              <w:spacing w:after="0"/>
              <w:rPr>
                <w:sz w:val="12"/>
                <w:szCs w:val="12"/>
                <w:color w:val="auto"/>
              </w:rPr>
            </w:pPr>
          </w:p>
        </w:tc>
        <w:tc>
          <w:tcPr>
            <w:tcW w:w="68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FFEE"/>
          </w:tcPr>
          <w:p>
            <w:pPr>
              <w:spacing w:after="0"/>
              <w:rPr>
                <w:sz w:val="12"/>
                <w:szCs w:val="12"/>
                <w:color w:val="auto"/>
              </w:rPr>
            </w:pPr>
          </w:p>
        </w:tc>
        <w:tc>
          <w:tcPr>
            <w:tcW w:w="17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400" w:type="dxa"/>
            <w:vAlign w:val="bottom"/>
            <w:shd w:val="clear" w:color="auto" w:fill="CCFFEE"/>
          </w:tcPr>
          <w:p>
            <w:pPr>
              <w:spacing w:after="0"/>
              <w:rPr>
                <w:sz w:val="12"/>
                <w:szCs w:val="12"/>
                <w:color w:val="auto"/>
              </w:rPr>
            </w:pPr>
          </w:p>
        </w:tc>
        <w:tc>
          <w:tcPr>
            <w:tcW w:w="16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Adriana Mendizabal</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James Helin</w:t>
            </w:r>
          </w:p>
        </w:tc>
        <w:tc>
          <w:tcPr>
            <w:tcW w:w="680" w:type="dxa"/>
            <w:vAlign w:val="bottom"/>
            <w:shd w:val="clear" w:color="auto" w:fill="CCFFEE"/>
          </w:tcPr>
          <w:p>
            <w:pPr>
              <w:spacing w:after="0"/>
              <w:rPr>
                <w:sz w:val="12"/>
                <w:szCs w:val="12"/>
                <w:color w:val="auto"/>
              </w:rPr>
            </w:pPr>
          </w:p>
        </w:tc>
        <w:tc>
          <w:tcPr>
            <w:tcW w:w="160" w:type="dxa"/>
            <w:vAlign w:val="bottom"/>
            <w:shd w:val="clear" w:color="auto" w:fill="CCFFEE"/>
          </w:tcPr>
          <w:p>
            <w:pPr>
              <w:spacing w:after="0"/>
              <w:rPr>
                <w:sz w:val="12"/>
                <w:szCs w:val="12"/>
                <w:color w:val="auto"/>
              </w:rPr>
            </w:pPr>
          </w:p>
        </w:tc>
        <w:tc>
          <w:tcPr>
            <w:tcW w:w="6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78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FFEE"/>
          </w:tcPr>
          <w:p>
            <w:pPr>
              <w:spacing w:after="0"/>
              <w:rPr>
                <w:sz w:val="12"/>
                <w:szCs w:val="12"/>
                <w:color w:val="auto"/>
              </w:rPr>
            </w:pPr>
          </w:p>
        </w:tc>
        <w:tc>
          <w:tcPr>
            <w:tcW w:w="14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Steven Hollister</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Kathleen M. Holmgren</w:t>
            </w:r>
          </w:p>
        </w:tc>
        <w:tc>
          <w:tcPr>
            <w:tcW w:w="68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FFEE"/>
          </w:tcPr>
          <w:p>
            <w:pPr>
              <w:spacing w:after="0"/>
              <w:rPr>
                <w:sz w:val="12"/>
                <w:szCs w:val="12"/>
                <w:color w:val="auto"/>
              </w:rPr>
            </w:pPr>
          </w:p>
        </w:tc>
        <w:tc>
          <w:tcPr>
            <w:tcW w:w="6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7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4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J. Link Leavens</w:t>
            </w:r>
          </w:p>
        </w:tc>
        <w:tc>
          <w:tcPr>
            <w:tcW w:w="68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FFEE"/>
          </w:tcPr>
          <w:p>
            <w:pPr>
              <w:spacing w:after="0"/>
              <w:rPr>
                <w:sz w:val="12"/>
                <w:szCs w:val="12"/>
                <w:color w:val="auto"/>
              </w:rPr>
            </w:pPr>
          </w:p>
        </w:tc>
        <w:tc>
          <w:tcPr>
            <w:tcW w:w="6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7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400" w:type="dxa"/>
            <w:vAlign w:val="bottom"/>
            <w:shd w:val="clear" w:color="auto" w:fill="CCFFEE"/>
          </w:tcPr>
          <w:p>
            <w:pPr>
              <w:spacing w:after="0"/>
              <w:rPr>
                <w:sz w:val="12"/>
                <w:szCs w:val="12"/>
                <w:color w:val="auto"/>
              </w:rPr>
            </w:pPr>
          </w:p>
        </w:tc>
        <w:tc>
          <w:tcPr>
            <w:tcW w:w="16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John M. Hunt</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Donald M. Sanders</w:t>
            </w:r>
          </w:p>
        </w:tc>
        <w:tc>
          <w:tcPr>
            <w:tcW w:w="68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FFEE"/>
          </w:tcPr>
          <w:p>
            <w:pPr>
              <w:spacing w:after="0"/>
              <w:rPr>
                <w:sz w:val="12"/>
                <w:szCs w:val="12"/>
                <w:color w:val="auto"/>
              </w:rPr>
            </w:pPr>
          </w:p>
        </w:tc>
        <w:tc>
          <w:tcPr>
            <w:tcW w:w="6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7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1400" w:type="dxa"/>
            <w:vAlign w:val="bottom"/>
            <w:shd w:val="clear" w:color="auto" w:fill="CCFFEE"/>
          </w:tcPr>
          <w:p>
            <w:pPr>
              <w:spacing w:after="0"/>
              <w:rPr>
                <w:sz w:val="12"/>
                <w:szCs w:val="12"/>
                <w:color w:val="auto"/>
              </w:rPr>
            </w:pPr>
          </w:p>
        </w:tc>
        <w:tc>
          <w:tcPr>
            <w:tcW w:w="16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Number of meetings in fiscal year 2022</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13"/>
                <w:szCs w:val="13"/>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auto"/>
                <w:w w:val="99"/>
              </w:rPr>
              <w:t>7</w:t>
            </w:r>
          </w:p>
        </w:tc>
        <w:tc>
          <w:tcPr>
            <w:tcW w:w="14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14287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102" w:lineRule="exact"/>
        <w:rPr>
          <w:sz w:val="20"/>
          <w:szCs w:val="20"/>
          <w:color w:val="auto"/>
        </w:rPr>
      </w:pPr>
    </w:p>
    <w:p>
      <w:pPr>
        <w:ind w:left="20" w:right="8419" w:hanging="5"/>
        <w:spacing w:after="0" w:line="327" w:lineRule="auto"/>
        <w:tabs>
          <w:tab w:leader="none" w:pos="17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 Chair.</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Executive Committee. </w:t>
      </w:r>
      <w:r>
        <w:rPr>
          <w:rFonts w:ascii="Times New Roman" w:cs="Times New Roman" w:eastAsia="Times New Roman" w:hAnsi="Times New Roman"/>
          <w:sz w:val="12"/>
          <w:szCs w:val="12"/>
          <w:color w:val="auto"/>
        </w:rPr>
        <w:t>The Executive Committee exercises the authority of the Board of Directors when the Board is not in session, as permitted by law.</w:t>
      </w:r>
    </w:p>
    <w:p>
      <w:pPr>
        <w:spacing w:after="0" w:line="105" w:lineRule="exact"/>
        <w:rPr>
          <w:sz w:val="20"/>
          <w:szCs w:val="20"/>
          <w:color w:val="auto"/>
        </w:rPr>
      </w:pPr>
    </w:p>
    <w:p>
      <w:pPr>
        <w:ind w:left="20" w:right="39"/>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 xml:space="preserve">Audit Committee. </w:t>
      </w:r>
      <w:r>
        <w:rPr>
          <w:rFonts w:ascii="Times New Roman" w:cs="Times New Roman" w:eastAsia="Times New Roman" w:hAnsi="Times New Roman"/>
          <w:sz w:val="12"/>
          <w:szCs w:val="12"/>
          <w:color w:val="auto"/>
        </w:rPr>
        <w:t>The Audit Committee assists the Board and management in fulfilling their responsibilities for generally overseeing our financial reporting processes and the audit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financial statements, including the integrity of our financial statements, our compliance with legal and regulatory requirements, the qualifications and independence of the independent registered public accounting firm, and the performance of our internal audit function and the independent registered public accounting firm. Among other things, the Audit Committee prepares the Audit Committee report for inclusion in the annual proxy statement; appoints, evaluates and determines the compensation of the independent registered public accounting firm; reviews and approves the scope of the annual audit, the audit fee and the financial statements; reviews our disclosure controls and procedures, internal controls, internal audit function, and corporate policies with respect to financial information and earnings guidance; oversees investigations into complaints concerning financial matters; reviews other risks that may have a significant impact on our financial statements; and reviews transactions with related persons. The Audit Committee works closely with management, as well as the independent registered public accounting firm.</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Board has determined that Michael A. DiGregorio is an audit committee financial expert as defined by SEC rules and applicable listing standards.</w:t>
      </w:r>
    </w:p>
    <w:p>
      <w:pPr>
        <w:spacing w:after="0" w:line="105"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The report of the Audit Committee of the Board of Directors is included in the proxy statement on page 52. The charter of the Audit Committee is on our website at www.calavo.com under “Investor Relations – Corporate Governance”.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0" w:right="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Nominating, Corporate Governance and ESG Committee. </w:t>
      </w:r>
      <w:r>
        <w:rPr>
          <w:rFonts w:ascii="Times New Roman" w:cs="Times New Roman" w:eastAsia="Times New Roman" w:hAnsi="Times New Roman"/>
          <w:sz w:val="12"/>
          <w:szCs w:val="12"/>
          <w:color w:val="auto"/>
        </w:rPr>
        <w:t>The Nominating and Corporate Governance Committee and the Sustainability and Corporate Responsibility Committee were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combined in fiscal 2022 into the Nominating, Corporate Governance and ESG Committee.</w:t>
      </w:r>
    </w:p>
    <w:p>
      <w:pPr>
        <w:spacing w:after="0" w:line="107"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The Nominating, Corporate Governance and ESG Committee recommends candidates to be nominated for election as directors at our Annual Meeting, consistent with criteria approved by the Board; develops and reviews corporate governance principles and related policies for approval by the Board; periodically assesses the size and composition of the Board, including developing and reviewing director qualifications for approval by the Board; considers director candidates proposed by shareholders; reviews proposed changes to our Articles of Incorporation and Bylaws; and reviews shareholder proposals in conjunction with the Chairman of the Board and recommends Board responses.</w:t>
      </w:r>
    </w:p>
    <w:p>
      <w:pPr>
        <w:spacing w:after="0" w:line="122"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color w:val="auto"/>
        </w:rPr>
        <w:t>Calavo believes sustainable practices support long term ecological balance, environmental soundness and social equity. Nominating, Corporate Governance and ESG Committee reviews and approves sustainability goals and progress towards those goals and reviews the Company’s annual published sustainability report. Calavo’s sustainability policies and annual sustainability report is posted on our website at www.calavo.com under “sustainability”.</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charter of the Nominating, Corporate Governance and ESG Committee is on our website at www.calavo.com under “Investor Relations – Corporate Governance”.</w:t>
      </w:r>
    </w:p>
    <w:p>
      <w:pPr>
        <w:spacing w:after="0" w:line="101"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Compensation Committee. </w:t>
      </w:r>
      <w:r>
        <w:rPr>
          <w:rFonts w:ascii="Times New Roman" w:cs="Times New Roman" w:eastAsia="Times New Roman" w:hAnsi="Times New Roman"/>
          <w:sz w:val="12"/>
          <w:szCs w:val="12"/>
          <w:color w:val="auto"/>
        </w:rPr>
        <w:t>The Compensation Committee reviews and approves the Compensation Committee report required by the SEC for inclusion in the annual proxy statement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has authority to retain compensation consultants and other advisors. Other specific duties and responsibilities of the Compensation Committee include reviewing and approving objectives relevant to executive officer compensation; determining the compensation of executive officers in accordance with those objectives; approving severance arrangements and other applicable agreements for executive officers; overseeing our equity-based and incentive compensation plans for executive officers; and recommending compensation policies and practices for service on the Board and its committees. For a description of the processes and procedures used by the Compensation Committee for the consideration and determination of executive and director compensation, see “Executive Compensation - Compensation Discussion and Analysis.”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charter of the Compensation Committee is posted on our website at www.calavo.com under “Investor Relations – Corporate Governance”.</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Board Operations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Board Leadership Structure</w:t>
      </w:r>
    </w:p>
    <w:p>
      <w:pPr>
        <w:spacing w:after="0" w:line="107" w:lineRule="exact"/>
        <w:rPr>
          <w:sz w:val="20"/>
          <w:szCs w:val="20"/>
          <w:color w:val="auto"/>
        </w:rPr>
      </w:pPr>
    </w:p>
    <w:p>
      <w:pPr>
        <w:ind w:left="20" w:right="119"/>
        <w:spacing w:after="0" w:line="257" w:lineRule="auto"/>
        <w:rPr>
          <w:sz w:val="20"/>
          <w:szCs w:val="20"/>
          <w:color w:val="auto"/>
        </w:rPr>
      </w:pPr>
      <w:r>
        <w:rPr>
          <w:rFonts w:ascii="Times New Roman" w:cs="Times New Roman" w:eastAsia="Times New Roman" w:hAnsi="Times New Roman"/>
          <w:sz w:val="12"/>
          <w:szCs w:val="12"/>
          <w:color w:val="auto"/>
        </w:rPr>
        <w:t>The leadership structure of the Board of Directors is centered on the concept of an appropriate balance between management and the Board of Directors. The Board believes that it is in the best interest of Calavo and its shareholders for the Board to make a periodic determination regarding whether or not to separate the roles of Chairman and Chief Executive Officer based upon applicable facts and circumstances. The Board believes that it is the best interest of Calavo and its shareholders that the positions of Chairman of the Board and Chief Executive Officer be separated. The Board believes that this separation is desirable because it will allow the Chief Executive Officer, Brian Kocher, to focus on the operations of Calavo while our Chairman of the Board, Steven Hollister, focuses on long-range strategic issues and corporate governance.</w:t>
      </w:r>
    </w:p>
    <w:p>
      <w:pPr>
        <w:spacing w:after="0" w:line="125"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Effective September 9, 2021, in connection with the commencement of service of Steven Hollister as interim Chief Executive Officer, the Board of Directors designated Kathleen M. Holmgren as Lead Independent Director. In her position as Lead Independent Director, Ms. Holmgren presided over meetings of the independent directors, acted as a liaison between the independent directors and the Chairman of the Board and Chief Executive Officer and was available to perform any other responsibilities that were assigned from time to time by the Board of Directors.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Board Refreshment</w:t>
      </w:r>
    </w:p>
    <w:p>
      <w:pPr>
        <w:spacing w:after="0" w:line="107"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The Board recognizes the importance of Board refreshment, and we accordingly allow for annual elections of all directors. The Nominating, Corporate Governance and ESG Committee evaluates the qualifications and performance of each incumbent director before recommending his or her nomination each year. Following John M. Hunt’s and Donald M. Sanders’ decisions to not stand for re-election, the Board appointed Mr. Brian Kocher to the Board, effective January 27, 2023. Mr. Kocher’s deep knowledge, expertise and operational leadership in the fresh produce industry as a CEO, COO and CFO, and as our CEO, make him uniquely qualified to serve on the Board.</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Self-Evaluations</w:t>
      </w:r>
    </w:p>
    <w:p>
      <w:pPr>
        <w:spacing w:after="0" w:line="152" w:lineRule="exact"/>
        <w:rPr>
          <w:sz w:val="20"/>
          <w:szCs w:val="20"/>
          <w:color w:val="auto"/>
        </w:rPr>
      </w:pPr>
    </w:p>
    <w:p>
      <w:pPr>
        <w:ind w:left="20" w:right="439"/>
        <w:spacing w:after="0" w:line="327" w:lineRule="auto"/>
        <w:rPr>
          <w:sz w:val="20"/>
          <w:szCs w:val="20"/>
          <w:color w:val="auto"/>
        </w:rPr>
      </w:pPr>
      <w:r>
        <w:rPr>
          <w:rFonts w:ascii="Times New Roman" w:cs="Times New Roman" w:eastAsia="Times New Roman" w:hAnsi="Times New Roman"/>
          <w:sz w:val="11"/>
          <w:szCs w:val="11"/>
          <w:color w:val="auto"/>
        </w:rPr>
        <w:t>The Board and each committee other than the Executive Committee have historically informally conducted annual self-evaluations. Beginning in 2021 the Nominating, Corporate Governance and ESG Committee implemented and oversaw a formalized process of self-evaluations, which includes interviews, discussions and written questionnaires.</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self-evaluations cover the following topics, among others:</w:t>
      </w:r>
    </w:p>
    <w:p>
      <w:pPr>
        <w:spacing w:after="0" w:line="123" w:lineRule="exact"/>
        <w:rPr>
          <w:sz w:val="20"/>
          <w:szCs w:val="20"/>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Board and committee composition, including whether the Board has the right mix of diverse experience, background and ideas at policy-making levels;</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Satisfaction with the performance of our Non-Executive Chairman, committee chairs and individual directors;</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Satisfaction with Board materials, agenda setting and discussions, and access to senior management.</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Sustainability</w:t>
      </w:r>
    </w:p>
    <w:p>
      <w:pPr>
        <w:spacing w:after="0" w:line="107"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Sustainability has become increasingly important to our customers, employees, and business strategy, and we are focused on operating our business in a sustainable manner. Sustainability is a key topic of conversation in all material aspects of our business. Our sustainability strategy includes:</w:t>
      </w:r>
    </w:p>
    <w:p>
      <w:pPr>
        <w:spacing w:after="0" w:line="93" w:lineRule="exact"/>
        <w:rPr>
          <w:sz w:val="20"/>
          <w:szCs w:val="20"/>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commitment to long-term ecological balance, environmental soundness and social equity throughout our enterprise;</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Exploring ways to optimize energy usage, reduce water consumption, and convert waste into compostable matter;</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Partnering with leading organizations to reduce food waste, enhance our sustainable packaging initiatives, and reduce emissions; and</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the health and safety of our staff, engaging and supporting the communities in which we work, and delivering healthy and nutritious food.</w:t>
      </w:r>
    </w:p>
    <w:p>
      <w:pPr>
        <w:spacing w:after="0" w:line="139"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The Sustainability Committee was merged with the Nominating and Corporate Governance Committee and renamed the Nominating, Corporate Governance and ESG Committee, which oversees our initiatives relating to sustainability and corporate social responsibility.</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Our website’s sustainability section has more information, including our annual sustainability report. The information on our website is not part of this proxy statement.</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Orientation and Continuing Education</w:t>
      </w:r>
    </w:p>
    <w:p>
      <w:pPr>
        <w:spacing w:after="0" w:line="152"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New directors participate in an orientation program and receive materials and briefings to acquaint the director with our business, strategies and governance policies and other documents. Continuing education is provided for all directors through board materials and presentations, discussions with management, visits to our facilities and our membership in NACD (National Association of Corporate Directors).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Risk Oversight</w:t>
      </w:r>
    </w:p>
    <w:p>
      <w:pPr>
        <w:spacing w:after="0" w:line="107"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The Board provides oversight of our risk management processes. The Board performs this function as a whole and by delegating to its key committees, each of which meets regularly and reports back to the Board. The committees’ responsibilities are summarized below. While the Board and its committees oversee risk management, management is charged with managing enterprise risks. The Board recognizes that it is neither possible nor desirable to eliminate all risk; rather, the Board views appropriate risk taking as essential to our long-term success and seeks to understand and oversee critical business risks in the context of our business strategy, the magnitude of the particular risks and the proper allocation of our risk management and mitigation resources.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7" w:lineRule="exact"/>
        <w:rPr>
          <w:sz w:val="20"/>
          <w:szCs w:val="20"/>
          <w:color w:val="auto"/>
        </w:rPr>
      </w:pPr>
    </w:p>
    <w:p>
      <w:pPr>
        <w:ind w:left="660" w:right="6759" w:hanging="429"/>
        <w:spacing w:after="0" w:line="242" w:lineRule="auto"/>
        <w:tabs>
          <w:tab w:leader="none" w:pos="44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Oversees risk management related to: </w:t>
      </w:r>
      <w:r>
        <w:rPr>
          <w:rFonts w:ascii="Courier New" w:cs="Courier New" w:eastAsia="Courier New" w:hAnsi="Courier New"/>
          <w:sz w:val="12"/>
          <w:szCs w:val="12"/>
          <w:color w:val="auto"/>
        </w:rPr>
        <w:t xml:space="preserve">o </w:t>
      </w:r>
      <w:r>
        <w:rPr>
          <w:rFonts w:ascii="Times New Roman" w:cs="Times New Roman" w:eastAsia="Times New Roman" w:hAnsi="Times New Roman"/>
          <w:sz w:val="12"/>
          <w:szCs w:val="12"/>
          <w:color w:val="auto"/>
        </w:rPr>
        <w:t>financial statements;</w:t>
      </w:r>
    </w:p>
    <w:p>
      <w:pPr>
        <w:ind w:left="660" w:right="5999"/>
        <w:spacing w:after="0" w:line="231" w:lineRule="auto"/>
        <w:rPr>
          <w:rFonts w:ascii="Times New Roman" w:cs="Times New Roman" w:eastAsia="Times New Roman" w:hAnsi="Times New Roman"/>
          <w:sz w:val="12"/>
          <w:szCs w:val="12"/>
          <w:color w:val="auto"/>
        </w:rPr>
      </w:pPr>
      <w:r>
        <w:rPr>
          <w:rFonts w:ascii="Courier New" w:cs="Courier New" w:eastAsia="Courier New" w:hAnsi="Courier New"/>
          <w:sz w:val="12"/>
          <w:szCs w:val="12"/>
          <w:color w:val="auto"/>
        </w:rPr>
        <w:t xml:space="preserve">o </w:t>
      </w:r>
      <w:r>
        <w:rPr>
          <w:rFonts w:ascii="Times New Roman" w:cs="Times New Roman" w:eastAsia="Times New Roman" w:hAnsi="Times New Roman"/>
          <w:sz w:val="12"/>
          <w:szCs w:val="12"/>
          <w:color w:val="auto"/>
        </w:rPr>
        <w:t>financial reporting and disclosure processes;</w:t>
      </w:r>
      <w:r>
        <w:rPr>
          <w:rFonts w:ascii="Courier New" w:cs="Courier New" w:eastAsia="Courier New" w:hAnsi="Courier New"/>
          <w:sz w:val="12"/>
          <w:szCs w:val="12"/>
          <w:color w:val="auto"/>
        </w:rPr>
        <w:t xml:space="preserve"> o </w:t>
      </w:r>
      <w:r>
        <w:rPr>
          <w:rFonts w:ascii="Times New Roman" w:cs="Times New Roman" w:eastAsia="Times New Roman" w:hAnsi="Times New Roman"/>
          <w:sz w:val="12"/>
          <w:szCs w:val="12"/>
          <w:color w:val="auto"/>
        </w:rPr>
        <w:t>financial and other internal controls; and</w:t>
      </w:r>
    </w:p>
    <w:p>
      <w:pPr>
        <w:ind w:left="880" w:hanging="217"/>
        <w:spacing w:after="0" w:line="236" w:lineRule="auto"/>
        <w:tabs>
          <w:tab w:leader="none" w:pos="880" w:val="left"/>
        </w:tabs>
        <w:numPr>
          <w:ilvl w:val="1"/>
          <w:numId w:val="12"/>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accounting,</w:t>
      </w:r>
    </w:p>
    <w:p>
      <w:pPr>
        <w:spacing w:after="0" w:line="1" w:lineRule="exact"/>
        <w:rPr>
          <w:rFonts w:ascii="Courier New" w:cs="Courier New" w:eastAsia="Courier New" w:hAnsi="Courier New"/>
          <w:sz w:val="12"/>
          <w:szCs w:val="12"/>
          <w:color w:val="auto"/>
        </w:rPr>
      </w:pPr>
    </w:p>
    <w:p>
      <w:pPr>
        <w:ind w:left="440" w:hanging="209"/>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the internal audit function.</w:t>
      </w:r>
    </w:p>
    <w:p>
      <w:pPr>
        <w:spacing w:after="0" w:line="4"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Meets separately on a regular basis with the CFO, as well as with representatives of our independent auditing firm, and the head of our internal audit department</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Compensation Committee</w:t>
      </w:r>
    </w:p>
    <w:p>
      <w:pPr>
        <w:spacing w:after="0" w:line="17" w:lineRule="exact"/>
        <w:rPr>
          <w:sz w:val="20"/>
          <w:szCs w:val="20"/>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risk management related to our compensation philosophy and programs.</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our incentive compensation arrangements to confirm incentive pay does not encourage inappropriate risk taking.</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Nominating, Corporate Governance and ESG Committee</w:t>
      </w:r>
    </w:p>
    <w:p>
      <w:pPr>
        <w:spacing w:after="0" w:line="17" w:lineRule="exact"/>
        <w:rPr>
          <w:sz w:val="20"/>
          <w:szCs w:val="20"/>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risk management related to governance policies and procedures, and board organization and membership.</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risk management related to sustainability and corporate responsibility, including, but not limited to, climate change, food safety and diversity.</w:t>
      </w:r>
    </w:p>
    <w:p>
      <w:pPr>
        <w:spacing w:after="0" w:line="139"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Our internal control environment facilitates the identification and management of risks and regular communications with the Board. The Board and its committees receive regular reports from senior managers on areas of material risk, including operational, financial, strategic, competitive, reputational, legal and regulatory risks, and how those risks are managed. These reports are informed by such things as an annual information security audit by certified information security auditors. We further have training and compliance programs to prepare staff to identify and escalate risks, for example with regard to information security. Each Board committee has access to outside counsel and may engage independent counsel.</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Director Nominees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Shareholder Nominees</w:t>
      </w:r>
    </w:p>
    <w:p>
      <w:pPr>
        <w:spacing w:after="0" w:line="107" w:lineRule="exact"/>
        <w:rPr>
          <w:sz w:val="20"/>
          <w:szCs w:val="20"/>
          <w:color w:val="auto"/>
        </w:rPr>
      </w:pPr>
    </w:p>
    <w:p>
      <w:pPr>
        <w:ind w:left="20" w:right="199"/>
        <w:spacing w:after="0" w:line="260" w:lineRule="auto"/>
        <w:rPr>
          <w:sz w:val="20"/>
          <w:szCs w:val="20"/>
          <w:color w:val="auto"/>
        </w:rPr>
      </w:pPr>
      <w:r>
        <w:rPr>
          <w:rFonts w:ascii="Times New Roman" w:cs="Times New Roman" w:eastAsia="Times New Roman" w:hAnsi="Times New Roman"/>
          <w:sz w:val="12"/>
          <w:szCs w:val="12"/>
          <w:color w:val="auto"/>
        </w:rPr>
        <w:t>The Nominating, Corporate Governance and ESG Committee will consider shareholder nominations for candidates for membership on the Board. In evaluating such nominations, the Nominating, Corporate Governance and ESG Committee seeks to achieve a balance of knowledge, experience and capability on the Board. Any shareholder nominations proposed for consideration by the Nominating and Corporate Governance Committee should include the nominee's name and qualifications for Board membership and should be emailed to 2022proxy@calavo.com.</w:t>
      </w:r>
    </w:p>
    <w:p>
      <w:pPr>
        <w:spacing w:after="0" w:line="77" w:lineRule="exact"/>
        <w:rPr>
          <w:sz w:val="20"/>
          <w:szCs w:val="20"/>
          <w:color w:val="auto"/>
        </w:rPr>
      </w:pPr>
    </w:p>
    <w:p>
      <w:pPr>
        <w:ind w:left="40" w:right="559" w:hanging="29"/>
        <w:spacing w:after="0" w:line="279" w:lineRule="auto"/>
        <w:rPr>
          <w:sz w:val="20"/>
          <w:szCs w:val="20"/>
          <w:color w:val="auto"/>
        </w:rPr>
      </w:pPr>
      <w:r>
        <w:rPr>
          <w:rFonts w:ascii="Times New Roman" w:cs="Times New Roman" w:eastAsia="Times New Roman" w:hAnsi="Times New Roman"/>
          <w:sz w:val="12"/>
          <w:szCs w:val="12"/>
          <w:color w:val="auto"/>
        </w:rPr>
        <w:t xml:space="preserve">In addition, our bylaws permit shareholders to nominate directors for consideration at an annual shareholders’ meeting by following the procedures set forth in our bylaws. See </w:t>
      </w:r>
      <w:r>
        <w:rPr>
          <w:rFonts w:ascii="Times New Roman" w:cs="Times New Roman" w:eastAsia="Times New Roman" w:hAnsi="Times New Roman"/>
          <w:sz w:val="12"/>
          <w:szCs w:val="12"/>
          <w:i w:val="1"/>
          <w:iCs w:val="1"/>
          <w:color w:val="auto"/>
        </w:rPr>
        <w:t xml:space="preserve">"Questions and Answers— What is the deadline to propose actions for consideration at next year's Annual Meeting of shareholders?” </w:t>
      </w:r>
      <w:r>
        <w:rPr>
          <w:rFonts w:ascii="Times New Roman" w:cs="Times New Roman" w:eastAsia="Times New Roman" w:hAnsi="Times New Roman"/>
          <w:sz w:val="12"/>
          <w:szCs w:val="12"/>
          <w:color w:val="auto"/>
        </w:rPr>
        <w:t>above.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Qualifications</w:t>
      </w:r>
    </w:p>
    <w:p>
      <w:pPr>
        <w:spacing w:after="0" w:line="107" w:lineRule="exact"/>
        <w:rPr>
          <w:sz w:val="20"/>
          <w:szCs w:val="20"/>
          <w:color w:val="auto"/>
        </w:rPr>
      </w:pPr>
    </w:p>
    <w:p>
      <w:pPr>
        <w:ind w:left="20" w:right="99"/>
        <w:spacing w:after="0" w:line="257" w:lineRule="auto"/>
        <w:rPr>
          <w:sz w:val="20"/>
          <w:szCs w:val="20"/>
          <w:color w:val="auto"/>
        </w:rPr>
      </w:pPr>
      <w:r>
        <w:rPr>
          <w:rFonts w:ascii="Times New Roman" w:cs="Times New Roman" w:eastAsia="Times New Roman" w:hAnsi="Times New Roman"/>
          <w:sz w:val="12"/>
          <w:szCs w:val="12"/>
          <w:color w:val="auto"/>
        </w:rPr>
        <w:t>The Nominating, Corporate Governance and ESG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w:t>
      </w:r>
    </w:p>
    <w:p>
      <w:pPr>
        <w:spacing w:after="0" w:line="80" w:lineRule="exact"/>
        <w:rPr>
          <w:sz w:val="20"/>
          <w:szCs w:val="20"/>
          <w:color w:val="auto"/>
        </w:rPr>
      </w:pPr>
    </w:p>
    <w:p>
      <w:pPr>
        <w:ind w:left="20" w:right="119"/>
        <w:spacing w:after="0" w:line="257" w:lineRule="auto"/>
        <w:rPr>
          <w:sz w:val="20"/>
          <w:szCs w:val="20"/>
          <w:color w:val="auto"/>
        </w:rPr>
      </w:pPr>
      <w:r>
        <w:rPr>
          <w:rFonts w:ascii="Times New Roman" w:cs="Times New Roman" w:eastAsia="Times New Roman" w:hAnsi="Times New Roman"/>
          <w:sz w:val="12"/>
          <w:szCs w:val="12"/>
          <w:color w:val="auto"/>
        </w:rPr>
        <w:t>Neither the Nominating, Corporate Governance and ESG Committee nor the Board has a written policy regarding the consideration of diversity in identifying director nominees. However, in recommending candidates for appointment or election to the Board, the Nominating, Corporate Governance and ESG Committee seeks to have a Board consisting of directors with diverse backgrounds, skills, experiences and expertise and considers factors such as industry experience, unique expertise, gender diversity and other background diversity and prior business leadership and board positions. The Board and the Nominating, Corporate Governance and ESG Committee will endeavor to nominate candidates in compliance with applicable federal or state laws and rules regarding board diversity.</w:t>
      </w:r>
    </w:p>
    <w:p>
      <w:pPr>
        <w:spacing w:after="0" w:line="125" w:lineRule="exact"/>
        <w:rPr>
          <w:sz w:val="20"/>
          <w:szCs w:val="20"/>
          <w:color w:val="auto"/>
        </w:rPr>
      </w:pPr>
    </w:p>
    <w:p>
      <w:pPr>
        <w:ind w:left="20" w:right="179"/>
        <w:spacing w:after="0" w:line="265" w:lineRule="auto"/>
        <w:rPr>
          <w:sz w:val="20"/>
          <w:szCs w:val="20"/>
          <w:color w:val="auto"/>
        </w:rPr>
      </w:pPr>
      <w:r>
        <w:rPr>
          <w:rFonts w:ascii="Times New Roman" w:cs="Times New Roman" w:eastAsia="Times New Roman" w:hAnsi="Times New Roman"/>
          <w:sz w:val="12"/>
          <w:szCs w:val="12"/>
          <w:color w:val="auto"/>
        </w:rPr>
        <w:t>Among our nine nominees for election to the Board, three self-identify as women, and three self-identify as an individual from an underrepresented community (meaning, an individual who self-identifies as Black, African American, Hispanic, Latino, Asian, Pacific Islander, Native American, or Alaska Native, or who self-identifies as gay, lesbian, bisexual, or transgender).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Identifying and Evaluating Nominees for Director</w:t>
      </w:r>
    </w:p>
    <w:p>
      <w:pPr>
        <w:spacing w:after="0" w:line="107" w:lineRule="exact"/>
        <w:rPr>
          <w:sz w:val="20"/>
          <w:szCs w:val="20"/>
          <w:color w:val="auto"/>
        </w:rPr>
      </w:pPr>
    </w:p>
    <w:p>
      <w:pPr>
        <w:ind w:left="20" w:right="39"/>
        <w:spacing w:after="0" w:line="254" w:lineRule="auto"/>
        <w:rPr>
          <w:sz w:val="20"/>
          <w:szCs w:val="20"/>
          <w:color w:val="auto"/>
        </w:rPr>
      </w:pPr>
      <w:r>
        <w:rPr>
          <w:rFonts w:ascii="Times New Roman" w:cs="Times New Roman" w:eastAsia="Times New Roman" w:hAnsi="Times New Roman"/>
          <w:sz w:val="12"/>
          <w:szCs w:val="12"/>
          <w:color w:val="auto"/>
        </w:rPr>
        <w:t>The Nominating, Corporate Governance and ESG Committee utilizes a variety of methods for identifying and evaluating nominees for director. The Nominating, Corporate Governance and ESG Committee will periodically assess the appropriate size of the Board and whether any vacancies on the Board are expected due to retirement or otherwise. In the event that vacancies are anticipated, or otherwise arise, the Nominating, Corporate Governance and ESG Committee will consider various potential candidates for director. Candidates may come to the attention of the Nominating, Corporate Governance and ESG Committee through current Board members, professional search firms, shareholders or other persons. These candidates will be evaluated at regular or special meetings of the Nominating, Corporate Governance and ESG Committee and may be considered at any point during the year. As described above, the Nominating, Corporate Governance and ESG Committee considers shareholder nominations for candidates for the Board. If any materials are provided by a shareholder in connection with the nomination of a director candidate, such materials will be forwarded to the Nominating, Corporate Governance and ESG Committee. The Nominating, Corporate Governance and ESG Committee will also review materials provided by professional search firms or other parties in connection with a nominee who is not proposed by a shareholder.</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4" w:lineRule="exact"/>
        <w:rPr>
          <w:sz w:val="20"/>
          <w:szCs w:val="20"/>
          <w:color w:val="auto"/>
        </w:rPr>
      </w:pPr>
    </w:p>
    <w:p>
      <w:pPr>
        <w:ind w:left="20" w:right="139"/>
        <w:spacing w:after="0" w:line="260" w:lineRule="auto"/>
        <w:rPr>
          <w:sz w:val="20"/>
          <w:szCs w:val="20"/>
          <w:color w:val="auto"/>
        </w:rPr>
      </w:pPr>
      <w:r>
        <w:rPr>
          <w:rFonts w:ascii="Times New Roman" w:cs="Times New Roman" w:eastAsia="Times New Roman" w:hAnsi="Times New Roman"/>
          <w:sz w:val="12"/>
          <w:szCs w:val="12"/>
          <w:color w:val="auto"/>
        </w:rPr>
        <w:t>Our director compensation program is designed to attract and retain highly qualified non-employee directors and to align their interests with the long-term interests of our stockholders. The Compensation Committee is responsible for reviewing the equity and cash compensation for directors on an annual basis and making recommendations to the Board if it determines changes are needed. The Compensation Committee periodically reviews and considers information from its independent compensation consultant regarding the amounts and type of compensation paid to non-employee directors at companies within the same peer group the Compensation Committee utilizes to assess executive compensation.</w:t>
      </w:r>
    </w:p>
    <w:p>
      <w:pPr>
        <w:spacing w:after="0" w:line="122"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Under the Calavo Growers, Inc. 2020 Equity Incentive Plan (the “2020 Plan”), in no event shall the compensation payable by Calavo to a non-employee director for services performed as a non-employee director exceed $450,000 in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aggregate during any fiscal year, which limit shall be increased to $650,000 in the fiscal year of a non-employee director’s initial service as a non-employee director, and in no event shall the number of shares of common stock subject to stock and/or option awards exceed 20,000 shares during any fiscal year.</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Annual Retainers and Equity</w:t>
      </w:r>
    </w:p>
    <w:p>
      <w:pPr>
        <w:spacing w:after="0" w:line="109" w:lineRule="exact"/>
        <w:rPr>
          <w:sz w:val="20"/>
          <w:szCs w:val="20"/>
          <w:color w:val="auto"/>
        </w:rPr>
      </w:pPr>
    </w:p>
    <w:p>
      <w:pPr>
        <w:ind w:left="20" w:right="399"/>
        <w:spacing w:after="0" w:line="279" w:lineRule="auto"/>
        <w:rPr>
          <w:sz w:val="20"/>
          <w:szCs w:val="20"/>
          <w:color w:val="auto"/>
        </w:rPr>
      </w:pPr>
      <w:r>
        <w:rPr>
          <w:rFonts w:ascii="Times New Roman" w:cs="Times New Roman" w:eastAsia="Times New Roman" w:hAnsi="Times New Roman"/>
          <w:sz w:val="12"/>
          <w:szCs w:val="12"/>
          <w:color w:val="auto"/>
        </w:rPr>
        <w:t>During fiscal 2022, non-employee directors received an annual cash retainer and certain directors received fees for serving in certain Board positions. Non-employee directors also received retainers for chair or committee service and were reimbursed for reasonable expenses incurred in connection with the performance of his or her service as a director.</w:t>
      </w:r>
    </w:p>
    <w:p>
      <w:pPr>
        <w:spacing w:after="0" w:line="66" w:lineRule="exact"/>
        <w:rPr>
          <w:sz w:val="20"/>
          <w:szCs w:val="20"/>
          <w:color w:val="auto"/>
        </w:rPr>
      </w:pPr>
    </w:p>
    <w:p>
      <w:pPr>
        <w:ind w:left="20" w:right="139"/>
        <w:spacing w:after="0" w:line="265" w:lineRule="auto"/>
        <w:rPr>
          <w:sz w:val="20"/>
          <w:szCs w:val="20"/>
          <w:color w:val="auto"/>
        </w:rPr>
      </w:pPr>
      <w:r>
        <w:rPr>
          <w:rFonts w:ascii="Times New Roman" w:cs="Times New Roman" w:eastAsia="Times New Roman" w:hAnsi="Times New Roman"/>
          <w:sz w:val="12"/>
          <w:szCs w:val="12"/>
          <w:color w:val="auto"/>
        </w:rPr>
        <w:t>Each of our non-employee directors was paid a $70,000 annual base retainer that applied to services rendered from November 1, 2021 through October 31, 2022 and was reimbursed for reasonable expenses incurred in connection with the performance of his or her service as a director. Non-employee directors are paid their retainer and fees for meetings attended on a quarterly basis. Directors are paid on a pro-rata basis if roles change during the year.</w:t>
      </w:r>
    </w:p>
    <w:p>
      <w:pPr>
        <w:spacing w:after="0" w:line="119" w:lineRule="exact"/>
        <w:rPr>
          <w:sz w:val="20"/>
          <w:szCs w:val="20"/>
          <w:color w:val="auto"/>
        </w:rPr>
      </w:pPr>
    </w:p>
    <w:p>
      <w:pPr>
        <w:ind w:left="20" w:right="299"/>
        <w:spacing w:after="0" w:line="279" w:lineRule="auto"/>
        <w:rPr>
          <w:sz w:val="20"/>
          <w:szCs w:val="20"/>
          <w:color w:val="auto"/>
        </w:rPr>
      </w:pPr>
      <w:r>
        <w:rPr>
          <w:rFonts w:ascii="Times New Roman" w:cs="Times New Roman" w:eastAsia="Times New Roman" w:hAnsi="Times New Roman"/>
          <w:sz w:val="12"/>
          <w:szCs w:val="12"/>
          <w:color w:val="auto"/>
        </w:rPr>
        <w:t>Directors may, from time to time, be compensated related to their involvement in special projects, as determined by the Board. Cash retainers and the fees are pro-rated for directors whose service lasts for less than a year. The compensation structure for our non-employee directors for fiscal 2022 is set forth in the following table:</w:t>
      </w:r>
    </w:p>
    <w:p>
      <w:pPr>
        <w:spacing w:after="0" w:line="120" w:lineRule="exact"/>
        <w:rPr>
          <w:sz w:val="20"/>
          <w:szCs w:val="20"/>
          <w:color w:val="auto"/>
        </w:rPr>
      </w:pPr>
    </w:p>
    <w:tbl>
      <w:tblPr>
        <w:tblLayout w:type="fixed"/>
        <w:tblInd w:w="680" w:type="dxa"/>
        <w:tblCellMar>
          <w:top w:w="0" w:type="dxa"/>
          <w:left w:w="0" w:type="dxa"/>
          <w:bottom w:w="0" w:type="dxa"/>
          <w:right w:w="0" w:type="dxa"/>
        </w:tblCellMar>
      </w:tblPr>
      <w:tr>
        <w:trPr>
          <w:trHeight w:val="155"/>
        </w:trPr>
        <w:tc>
          <w:tcPr>
            <w:tcW w:w="5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Annual Retainer for Board Members</w:t>
            </w: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$70,000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000" w:type="dxa"/>
            <w:vAlign w:val="bottom"/>
            <w:gridSpan w:val="2"/>
            <w:shd w:val="clear" w:color="auto" w:fill="CCFFEE"/>
          </w:tcPr>
          <w:p>
            <w:pPr>
              <w:spacing w:after="0" w:line="117" w:lineRule="exact"/>
              <w:rPr>
                <w:sz w:val="20"/>
                <w:szCs w:val="20"/>
                <w:color w:val="auto"/>
              </w:rPr>
            </w:pPr>
            <w:r>
              <w:rPr>
                <w:rFonts w:ascii="Times New Roman" w:cs="Times New Roman" w:eastAsia="Times New Roman" w:hAnsi="Times New Roman"/>
                <w:sz w:val="12"/>
                <w:szCs w:val="12"/>
                <w:color w:val="auto"/>
              </w:rPr>
              <w:t>Additional Annual Retainers</w:t>
            </w:r>
          </w:p>
        </w:tc>
        <w:tc>
          <w:tcPr>
            <w:tcW w:w="2620" w:type="dxa"/>
            <w:vAlign w:val="bottom"/>
            <w:shd w:val="clear" w:color="auto" w:fill="CCFFE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2"/>
                <w:szCs w:val="12"/>
                <w:color w:val="auto"/>
              </w:rPr>
              <w:t>Board Chairman</w:t>
            </w:r>
          </w:p>
        </w:tc>
        <w:tc>
          <w:tcPr>
            <w:tcW w:w="3640" w:type="dxa"/>
            <w:vAlign w:val="bottom"/>
            <w:tcBorders>
              <w:top w:val="single" w:sz="8" w:color="CCFFEE"/>
            </w:tcBorders>
          </w:tcPr>
          <w:p>
            <w:pPr>
              <w:spacing w:after="0"/>
              <w:rPr>
                <w:sz w:val="11"/>
                <w:szCs w:val="11"/>
                <w:color w:val="auto"/>
              </w:rPr>
            </w:pPr>
          </w:p>
        </w:tc>
        <w:tc>
          <w:tcPr>
            <w:tcW w:w="2620" w:type="dxa"/>
            <w:vAlign w:val="bottom"/>
            <w:tcBorders>
              <w:top w:val="single" w:sz="8" w:color="CCFFEE"/>
            </w:tcBorders>
          </w:tcPr>
          <w:p>
            <w:pPr>
              <w:jc w:val="right"/>
              <w:ind w:right="320"/>
              <w:spacing w:after="0" w:line="131" w:lineRule="exact"/>
              <w:rPr>
                <w:sz w:val="20"/>
                <w:szCs w:val="20"/>
                <w:color w:val="auto"/>
              </w:rPr>
            </w:pPr>
            <w:r>
              <w:rPr>
                <w:rFonts w:ascii="Times New Roman" w:cs="Times New Roman" w:eastAsia="Times New Roman" w:hAnsi="Times New Roman"/>
                <w:sz w:val="12"/>
                <w:szCs w:val="12"/>
                <w:color w:val="auto"/>
              </w:rPr>
              <w:t>$40,000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Lead Independent Director</w:t>
            </w:r>
          </w:p>
        </w:tc>
        <w:tc>
          <w:tcPr>
            <w:tcW w:w="2620" w:type="dxa"/>
            <w:vAlign w:val="bottom"/>
            <w:shd w:val="clear" w:color="auto" w:fill="CCFFEE"/>
          </w:tcPr>
          <w:p>
            <w:pPr>
              <w:jc w:val="right"/>
              <w:ind w:right="320"/>
              <w:spacing w:after="0"/>
              <w:rPr>
                <w:sz w:val="20"/>
                <w:szCs w:val="20"/>
                <w:color w:val="auto"/>
              </w:rPr>
            </w:pPr>
            <w:r>
              <w:rPr>
                <w:rFonts w:ascii="Times New Roman" w:cs="Times New Roman" w:eastAsia="Times New Roman" w:hAnsi="Times New Roman"/>
                <w:sz w:val="12"/>
                <w:szCs w:val="12"/>
                <w:color w:val="auto"/>
              </w:rPr>
              <w:t>$20,000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Audit Committee Chair</w:t>
            </w: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Compensation Committee Chair</w:t>
            </w:r>
          </w:p>
        </w:tc>
        <w:tc>
          <w:tcPr>
            <w:tcW w:w="2620" w:type="dxa"/>
            <w:vAlign w:val="bottom"/>
            <w:shd w:val="clear" w:color="auto" w:fill="CCFFEE"/>
          </w:tcPr>
          <w:p>
            <w:pPr>
              <w:jc w:val="right"/>
              <w:ind w:right="320"/>
              <w:spacing w:after="0"/>
              <w:rPr>
                <w:sz w:val="20"/>
                <w:szCs w:val="20"/>
                <w:color w:val="auto"/>
              </w:rPr>
            </w:pPr>
            <w:r>
              <w:rPr>
                <w:rFonts w:ascii="Times New Roman" w:cs="Times New Roman" w:eastAsia="Times New Roman" w:hAnsi="Times New Roman"/>
                <w:sz w:val="12"/>
                <w:szCs w:val="12"/>
                <w:color w:val="auto"/>
              </w:rPr>
              <w:t>$12.000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Nominating, Corporate Governance and ESG Committee Chair</w:t>
            </w: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Audit Committee Members</w:t>
            </w:r>
          </w:p>
        </w:tc>
        <w:tc>
          <w:tcPr>
            <w:tcW w:w="2620" w:type="dxa"/>
            <w:vAlign w:val="bottom"/>
            <w:shd w:val="clear" w:color="auto" w:fill="CCFFEE"/>
          </w:tcPr>
          <w:p>
            <w:pPr>
              <w:jc w:val="right"/>
              <w:ind w:right="320"/>
              <w:spacing w:after="0"/>
              <w:rPr>
                <w:sz w:val="20"/>
                <w:szCs w:val="20"/>
                <w:color w:val="auto"/>
              </w:rPr>
            </w:pPr>
            <w:r>
              <w:rPr>
                <w:rFonts w:ascii="Times New Roman" w:cs="Times New Roman" w:eastAsia="Times New Roman" w:hAnsi="Times New Roman"/>
                <w:sz w:val="12"/>
                <w:szCs w:val="12"/>
                <w:color w:val="auto"/>
              </w:rPr>
              <w:t>$7,500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Compensation Committee Members</w:t>
            </w: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Nominating, Corporate Governance and ESG Committee Members</w:t>
            </w:r>
          </w:p>
        </w:tc>
        <w:tc>
          <w:tcPr>
            <w:tcW w:w="2620" w:type="dxa"/>
            <w:vAlign w:val="bottom"/>
            <w:shd w:val="clear" w:color="auto" w:fill="CCFFEE"/>
          </w:tcPr>
          <w:p>
            <w:pPr>
              <w:jc w:val="right"/>
              <w:ind w:right="320"/>
              <w:spacing w:after="0"/>
              <w:rPr>
                <w:sz w:val="20"/>
                <w:szCs w:val="20"/>
                <w:color w:val="auto"/>
              </w:rPr>
            </w:pPr>
            <w:r>
              <w:rPr>
                <w:rFonts w:ascii="Times New Roman" w:cs="Times New Roman" w:eastAsia="Times New Roman" w:hAnsi="Times New Roman"/>
                <w:sz w:val="12"/>
                <w:szCs w:val="12"/>
                <w:color w:val="auto"/>
              </w:rPr>
              <w:t>$5,000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Executive Committee Members</w:t>
            </w: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60" w:type="dxa"/>
            <w:vAlign w:val="bottom"/>
            <w:shd w:val="clear" w:color="auto" w:fill="CCFFEE"/>
          </w:tcPr>
          <w:p>
            <w:pPr>
              <w:spacing w:after="0"/>
              <w:rPr>
                <w:sz w:val="12"/>
                <w:szCs w:val="12"/>
                <w:color w:val="auto"/>
              </w:rPr>
            </w:pPr>
          </w:p>
        </w:tc>
        <w:tc>
          <w:tcPr>
            <w:tcW w:w="3640" w:type="dxa"/>
            <w:vAlign w:val="bottom"/>
            <w:shd w:val="clear" w:color="auto" w:fill="CCFFEE"/>
          </w:tcPr>
          <w:p>
            <w:pPr>
              <w:spacing w:after="0"/>
              <w:rPr>
                <w:sz w:val="12"/>
                <w:szCs w:val="12"/>
                <w:color w:val="auto"/>
              </w:rPr>
            </w:pPr>
          </w:p>
        </w:tc>
        <w:tc>
          <w:tcPr>
            <w:tcW w:w="262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Target Annual Equity Compensation Award Grant Date Value</w:t>
            </w:r>
          </w:p>
        </w:tc>
        <w:tc>
          <w:tcPr>
            <w:tcW w:w="26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$120,000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During fiscal year 2022, the below table reflects which persons received additional annual retainers for service in the below roles.</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4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Additional Annual Retainers</w:t>
            </w:r>
          </w:p>
        </w:tc>
        <w:tc>
          <w:tcPr>
            <w:tcW w:w="3700" w:type="dxa"/>
            <w:vAlign w:val="bottom"/>
            <w:gridSpan w:val="3"/>
          </w:tcPr>
          <w:p>
            <w:pPr>
              <w:ind w:left="960"/>
              <w:spacing w:after="0"/>
              <w:rPr>
                <w:sz w:val="20"/>
                <w:szCs w:val="20"/>
                <w:color w:val="auto"/>
              </w:rPr>
            </w:pPr>
            <w:r>
              <w:rPr>
                <w:rFonts w:ascii="Times New Roman" w:cs="Times New Roman" w:eastAsia="Times New Roman" w:hAnsi="Times New Roman"/>
                <w:sz w:val="12"/>
                <w:szCs w:val="12"/>
                <w:color w:val="auto"/>
              </w:rPr>
              <w:t>Name</w:t>
            </w:r>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51"/>
        </w:trPr>
        <w:tc>
          <w:tcPr>
            <w:tcW w:w="1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Board Chairman</w:t>
            </w:r>
          </w:p>
        </w:tc>
        <w:tc>
          <w:tcPr>
            <w:tcW w:w="2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Steven W. Hollister</w:t>
            </w:r>
          </w:p>
        </w:tc>
      </w:tr>
      <w:tr>
        <w:trPr>
          <w:trHeight w:val="144"/>
        </w:trPr>
        <w:tc>
          <w:tcPr>
            <w:tcW w:w="20" w:type="dxa"/>
            <w:vAlign w:val="bottom"/>
          </w:tcPr>
          <w:p>
            <w:pPr>
              <w:spacing w:after="0"/>
              <w:rPr>
                <w:sz w:val="12"/>
                <w:szCs w:val="12"/>
                <w:color w:val="auto"/>
              </w:rPr>
            </w:pPr>
          </w:p>
        </w:tc>
        <w:tc>
          <w:tcPr>
            <w:tcW w:w="40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Lead Independent Director</w:t>
            </w:r>
          </w:p>
        </w:tc>
        <w:tc>
          <w:tcPr>
            <w:tcW w:w="3700" w:type="dxa"/>
            <w:vAlign w:val="bottom"/>
            <w:gridSpan w:val="3"/>
            <w:shd w:val="clear" w:color="auto" w:fill="CCFFEE"/>
          </w:tcPr>
          <w:p>
            <w:pPr>
              <w:ind w:left="960"/>
              <w:spacing w:after="0"/>
              <w:rPr>
                <w:sz w:val="20"/>
                <w:szCs w:val="20"/>
                <w:color w:val="auto"/>
              </w:rPr>
            </w:pPr>
            <w:r>
              <w:rPr>
                <w:rFonts w:ascii="Times New Roman" w:cs="Times New Roman" w:eastAsia="Times New Roman" w:hAnsi="Times New Roman"/>
                <w:sz w:val="12"/>
                <w:szCs w:val="12"/>
                <w:color w:val="auto"/>
              </w:rPr>
              <w:t>Kathleen M. Holmgren</w:t>
            </w:r>
          </w:p>
        </w:tc>
      </w:tr>
      <w:tr>
        <w:trPr>
          <w:trHeight w:val="144"/>
        </w:trPr>
        <w:tc>
          <w:tcPr>
            <w:tcW w:w="20" w:type="dxa"/>
            <w:vAlign w:val="bottom"/>
          </w:tcPr>
          <w:p>
            <w:pPr>
              <w:spacing w:after="0"/>
              <w:rPr>
                <w:sz w:val="12"/>
                <w:szCs w:val="12"/>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Audit Committee Chair</w:t>
            </w:r>
          </w:p>
        </w:tc>
        <w:tc>
          <w:tcPr>
            <w:tcW w:w="3700" w:type="dxa"/>
            <w:vAlign w:val="bottom"/>
            <w:gridSpan w:val="3"/>
          </w:tcPr>
          <w:p>
            <w:pPr>
              <w:ind w:left="960"/>
              <w:spacing w:after="0"/>
              <w:rPr>
                <w:sz w:val="20"/>
                <w:szCs w:val="20"/>
                <w:color w:val="auto"/>
              </w:rPr>
            </w:pPr>
            <w:r>
              <w:rPr>
                <w:rFonts w:ascii="Times New Roman" w:cs="Times New Roman" w:eastAsia="Times New Roman" w:hAnsi="Times New Roman"/>
                <w:sz w:val="12"/>
                <w:szCs w:val="12"/>
                <w:color w:val="auto"/>
              </w:rPr>
              <w:t>Michael A. DiGregorio</w:t>
            </w:r>
          </w:p>
        </w:tc>
      </w:tr>
      <w:tr>
        <w:trPr>
          <w:trHeight w:val="144"/>
        </w:trPr>
        <w:tc>
          <w:tcPr>
            <w:tcW w:w="20" w:type="dxa"/>
            <w:vAlign w:val="bottom"/>
          </w:tcPr>
          <w:p>
            <w:pPr>
              <w:spacing w:after="0"/>
              <w:rPr>
                <w:sz w:val="12"/>
                <w:szCs w:val="12"/>
                <w:color w:val="auto"/>
              </w:rPr>
            </w:pPr>
          </w:p>
        </w:tc>
        <w:tc>
          <w:tcPr>
            <w:tcW w:w="40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Compensation Committee Chair</w:t>
            </w:r>
          </w:p>
        </w:tc>
        <w:tc>
          <w:tcPr>
            <w:tcW w:w="3700" w:type="dxa"/>
            <w:vAlign w:val="bottom"/>
            <w:gridSpan w:val="3"/>
            <w:shd w:val="clear" w:color="auto" w:fill="CCFFEE"/>
          </w:tcPr>
          <w:p>
            <w:pPr>
              <w:ind w:left="960"/>
              <w:spacing w:after="0"/>
              <w:rPr>
                <w:sz w:val="20"/>
                <w:szCs w:val="20"/>
                <w:color w:val="auto"/>
              </w:rPr>
            </w:pPr>
            <w:r>
              <w:rPr>
                <w:rFonts w:ascii="Times New Roman" w:cs="Times New Roman" w:eastAsia="Times New Roman" w:hAnsi="Times New Roman"/>
                <w:sz w:val="12"/>
                <w:szCs w:val="12"/>
                <w:color w:val="auto"/>
              </w:rPr>
              <w:t>Kathleen M. Holmgren</w:t>
            </w:r>
          </w:p>
        </w:tc>
      </w:tr>
      <w:tr>
        <w:trPr>
          <w:trHeight w:val="155"/>
        </w:trPr>
        <w:tc>
          <w:tcPr>
            <w:tcW w:w="2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Nominating, Corporate Governance and ESG Committee Chair</w:t>
            </w:r>
          </w:p>
        </w:tc>
        <w:tc>
          <w:tcPr>
            <w:tcW w:w="3700" w:type="dxa"/>
            <w:vAlign w:val="bottom"/>
            <w:gridSpan w:val="3"/>
          </w:tcPr>
          <w:p>
            <w:pPr>
              <w:ind w:left="960"/>
              <w:spacing w:after="0"/>
              <w:rPr>
                <w:sz w:val="20"/>
                <w:szCs w:val="20"/>
                <w:color w:val="auto"/>
              </w:rPr>
            </w:pPr>
            <w:r>
              <w:rPr>
                <w:rFonts w:ascii="Times New Roman" w:cs="Times New Roman" w:eastAsia="Times New Roman" w:hAnsi="Times New Roman"/>
                <w:sz w:val="12"/>
                <w:szCs w:val="12"/>
                <w:color w:val="auto"/>
              </w:rPr>
              <w:t>Adriana Mendizabal</w:t>
            </w: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Effective September 9, 2021, in connection with the commencement of service of Steven Hollister as interim Chief Executive Officer, the Board of Directors designated Kathleen M.</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Holmgren as Lead Independent Director.</w:t>
      </w:r>
    </w:p>
    <w:p>
      <w:pPr>
        <w:spacing w:after="0" w:line="139" w:lineRule="exact"/>
        <w:rPr>
          <w:sz w:val="20"/>
          <w:szCs w:val="20"/>
          <w:color w:val="auto"/>
        </w:rPr>
      </w:pPr>
    </w:p>
    <w:p>
      <w:pPr>
        <w:jc w:val="both"/>
        <w:ind w:left="20" w:right="239"/>
        <w:spacing w:after="0" w:line="265" w:lineRule="auto"/>
        <w:rPr>
          <w:sz w:val="20"/>
          <w:szCs w:val="20"/>
          <w:color w:val="auto"/>
        </w:rPr>
      </w:pPr>
      <w:r>
        <w:rPr>
          <w:rFonts w:ascii="Times New Roman" w:cs="Times New Roman" w:eastAsia="Times New Roman" w:hAnsi="Times New Roman"/>
          <w:sz w:val="12"/>
          <w:szCs w:val="12"/>
          <w:color w:val="auto"/>
        </w:rPr>
        <w:t>In fiscal year 2022, on January 3, 2022, all non-employee directors were each granted 2,814 restricted shares (for a total of 28,140 shares) under the 2020 Plan at an approximate total grant date value per award of $120,000. These shares have full voting rights and participate in dividends as if unrestricted. The closing share price of our common stock on such grant date was $42.64. As of January 3, 2023, these shares vested and became unrestricted subject to the continued service of the director through such vesting date.</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10" w:lineRule="exact"/>
        <w:rPr>
          <w:sz w:val="20"/>
          <w:szCs w:val="20"/>
          <w:color w:val="auto"/>
        </w:rPr>
      </w:pPr>
    </w:p>
    <w:p>
      <w:pPr>
        <w:jc w:val="both"/>
        <w:ind w:left="20" w:right="239"/>
        <w:spacing w:after="0" w:line="265" w:lineRule="auto"/>
        <w:rPr>
          <w:sz w:val="20"/>
          <w:szCs w:val="20"/>
          <w:color w:val="auto"/>
        </w:rPr>
      </w:pPr>
      <w:r>
        <w:rPr>
          <w:rFonts w:ascii="Times New Roman" w:cs="Times New Roman" w:eastAsia="Times New Roman" w:hAnsi="Times New Roman"/>
          <w:sz w:val="12"/>
          <w:szCs w:val="12"/>
          <w:color w:val="auto"/>
        </w:rPr>
        <w:t>In fiscal year 2023, on December 1, 2022, non-employee directors were each granted 3,478 restricted shares (for a total of 34,780 shares) under the 2020 Plan at an approximate total grant date value per award of $120,000. These shares have full voting rights and participate in dividends as if unrestricted. The closing share price of our common stock on such grant date was $34.51. As of December 1, 2023, these shares will vest and become unrestricted subject to continued service of the director through such vesting date.</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 Ownership Guidelines for Non-Employee Directors</w:t>
      </w:r>
    </w:p>
    <w:p>
      <w:pPr>
        <w:spacing w:after="0" w:line="154" w:lineRule="exact"/>
        <w:rPr>
          <w:sz w:val="20"/>
          <w:szCs w:val="20"/>
          <w:color w:val="auto"/>
        </w:rPr>
      </w:pPr>
    </w:p>
    <w:p>
      <w:pPr>
        <w:ind w:left="20" w:right="179"/>
        <w:spacing w:after="0" w:line="260" w:lineRule="auto"/>
        <w:rPr>
          <w:sz w:val="20"/>
          <w:szCs w:val="20"/>
          <w:color w:val="auto"/>
        </w:rPr>
      </w:pPr>
      <w:r>
        <w:rPr>
          <w:rFonts w:ascii="Times New Roman" w:cs="Times New Roman" w:eastAsia="Times New Roman" w:hAnsi="Times New Roman"/>
          <w:sz w:val="12"/>
          <w:szCs w:val="12"/>
          <w:color w:val="auto"/>
        </w:rPr>
        <w:t>Our non-employee directors are subject to stock ownership guidelines as more fully described below in the section titled “Stock Ownership Guidelines”. Under these guidelines, non-employee directors are required to own equity in the Company with a cumulative value of at least $320,000, which is approximately equal to 460% of their current annual base retainer. Except for our directors Farha Aslam (appointed to the Board in January 2021) and Adriana Mendizabal (appointed to the Board in December 2021), all of our non-employee directors have satisfied this stock ownership requirement.</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Compensation Table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summarizes compensation that our directors earned (in their capacity as a non-employee directors) during fiscal 2022 for services as members of our Board.</w:t>
      </w:r>
    </w:p>
    <w:p>
      <w:pPr>
        <w:spacing w:after="0" w:line="83" w:lineRule="exact"/>
        <w:rPr>
          <w:sz w:val="20"/>
          <w:szCs w:val="20"/>
          <w:color w:val="auto"/>
        </w:rPr>
      </w:pPr>
    </w:p>
    <w:tbl>
      <w:tblPr>
        <w:tblLayout w:type="fixed"/>
        <w:tblInd w:w="400" w:type="dxa"/>
        <w:tblCellMar>
          <w:top w:w="0" w:type="dxa"/>
          <w:left w:w="0" w:type="dxa"/>
          <w:bottom w:w="0" w:type="dxa"/>
          <w:right w:w="0" w:type="dxa"/>
        </w:tblCellMar>
      </w:tblPr>
      <w:tr>
        <w:trPr>
          <w:trHeight w:val="115"/>
        </w:trPr>
        <w:tc>
          <w:tcPr>
            <w:tcW w:w="306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Fees Earned or</w:t>
            </w: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Stock</w:t>
            </w:r>
          </w:p>
        </w:tc>
        <w:tc>
          <w:tcPr>
            <w:tcW w:w="300" w:type="dxa"/>
            <w:vAlign w:val="bottom"/>
          </w:tcPr>
          <w:p>
            <w:pPr>
              <w:spacing w:after="0"/>
              <w:rPr>
                <w:sz w:val="10"/>
                <w:szCs w:val="10"/>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1640" w:type="dxa"/>
            <w:vAlign w:val="bottom"/>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060" w:type="dxa"/>
            <w:vAlign w:val="bottom"/>
            <w:gridSpan w:val="2"/>
            <w:vMerge w:val="continue"/>
          </w:tcPr>
          <w:p>
            <w:pPr>
              <w:spacing w:after="0"/>
              <w:rPr>
                <w:sz w:val="10"/>
                <w:szCs w:val="10"/>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Paid in Cash ($)</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Awards ($)</w:t>
            </w:r>
            <w:r>
              <w:rPr>
                <w:rFonts w:ascii="Times New Roman" w:cs="Times New Roman" w:eastAsia="Times New Roman" w:hAnsi="Times New Roman"/>
                <w:sz w:val="7"/>
                <w:szCs w:val="7"/>
                <w:b w:val="1"/>
                <w:bCs w:val="1"/>
                <w:color w:val="auto"/>
              </w:rPr>
              <w:t>(1)(2)</w:t>
            </w:r>
          </w:p>
        </w:tc>
        <w:tc>
          <w:tcPr>
            <w:tcW w:w="300" w:type="dxa"/>
            <w:vAlign w:val="bottom"/>
          </w:tcPr>
          <w:p>
            <w:pPr>
              <w:spacing w:after="0"/>
              <w:rPr>
                <w:sz w:val="10"/>
                <w:szCs w:val="1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Awards ($)</w:t>
            </w:r>
            <w:r>
              <w:rPr>
                <w:rFonts w:ascii="Times New Roman" w:cs="Times New Roman" w:eastAsia="Times New Roman" w:hAnsi="Times New Roman"/>
                <w:sz w:val="7"/>
                <w:szCs w:val="7"/>
                <w:b w:val="1"/>
                <w:bCs w:val="1"/>
                <w:color w:val="auto"/>
                <w:w w:val="97"/>
              </w:rPr>
              <w:t>(1)(3)</w:t>
            </w:r>
          </w:p>
        </w:tc>
        <w:tc>
          <w:tcPr>
            <w:tcW w:w="1640" w:type="dxa"/>
            <w:vAlign w:val="bottom"/>
          </w:tcPr>
          <w:p>
            <w:pPr>
              <w:jc w:val="right"/>
              <w:ind w:right="702"/>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3"/>
        </w:trPr>
        <w:tc>
          <w:tcPr>
            <w:tcW w:w="2920" w:type="dxa"/>
            <w:vAlign w:val="bottom"/>
            <w:tcBorders>
              <w:top w:val="single" w:sz="8" w:color="auto"/>
            </w:tcBorders>
            <w:shd w:val="clear" w:color="auto" w:fill="CCFFEE"/>
          </w:tcPr>
          <w:p>
            <w:pPr>
              <w:spacing w:after="0" w:line="133" w:lineRule="exact"/>
              <w:rPr>
                <w:sz w:val="20"/>
                <w:szCs w:val="20"/>
                <w:color w:val="auto"/>
              </w:rPr>
            </w:pPr>
            <w:r>
              <w:rPr>
                <w:rFonts w:ascii="Times New Roman" w:cs="Times New Roman" w:eastAsia="Times New Roman" w:hAnsi="Times New Roman"/>
                <w:sz w:val="12"/>
                <w:szCs w:val="12"/>
                <w:color w:val="auto"/>
              </w:rPr>
              <w:t>Marc Brown</w:t>
            </w:r>
          </w:p>
        </w:tc>
        <w:tc>
          <w:tcPr>
            <w:tcW w:w="140" w:type="dxa"/>
            <w:vAlign w:val="bottom"/>
            <w:tcBorders>
              <w:top w:val="single" w:sz="8" w:color="CCFFEE"/>
            </w:tcBorders>
            <w:shd w:val="clear" w:color="auto" w:fill="CCFFEE"/>
          </w:tcPr>
          <w:p>
            <w:pPr>
              <w:spacing w:after="0"/>
              <w:rPr>
                <w:sz w:val="11"/>
                <w:szCs w:val="11"/>
                <w:color w:val="auto"/>
              </w:rPr>
            </w:pPr>
          </w:p>
        </w:tc>
        <w:tc>
          <w:tcPr>
            <w:tcW w:w="102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85,000</w:t>
            </w:r>
          </w:p>
        </w:tc>
        <w:tc>
          <w:tcPr>
            <w:tcW w:w="140" w:type="dxa"/>
            <w:vAlign w:val="bottom"/>
            <w:tcBorders>
              <w:top w:val="single" w:sz="8" w:color="CCFFEE"/>
            </w:tcBorders>
            <w:shd w:val="clear" w:color="auto" w:fill="CCFFEE"/>
          </w:tcPr>
          <w:p>
            <w:pPr>
              <w:spacing w:after="0"/>
              <w:rPr>
                <w:sz w:val="11"/>
                <w:szCs w:val="11"/>
                <w:color w:val="auto"/>
              </w:rPr>
            </w:pPr>
          </w:p>
        </w:tc>
        <w:tc>
          <w:tcPr>
            <w:tcW w:w="92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119,989</w:t>
            </w:r>
          </w:p>
        </w:tc>
        <w:tc>
          <w:tcPr>
            <w:tcW w:w="300" w:type="dxa"/>
            <w:vAlign w:val="bottom"/>
            <w:tcBorders>
              <w:top w:val="single" w:sz="8" w:color="CCFFEE"/>
            </w:tcBorders>
            <w:shd w:val="clear" w:color="auto" w:fill="CCFFEE"/>
          </w:tcPr>
          <w:p>
            <w:pPr>
              <w:spacing w:after="0"/>
              <w:rPr>
                <w:sz w:val="11"/>
                <w:szCs w:val="11"/>
                <w:color w:val="auto"/>
              </w:rPr>
            </w:pPr>
          </w:p>
        </w:tc>
        <w:tc>
          <w:tcPr>
            <w:tcW w:w="1020" w:type="dxa"/>
            <w:vAlign w:val="bottom"/>
            <w:tcBorders>
              <w:top w:val="single" w:sz="8" w:color="auto"/>
            </w:tcBorders>
            <w:shd w:val="clear" w:color="auto" w:fill="CCFFEE"/>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Borders>
              <w:top w:val="single" w:sz="8" w:color="CCFFEE"/>
            </w:tcBorders>
            <w:shd w:val="clear" w:color="auto" w:fill="CCFFEE"/>
          </w:tcPr>
          <w:p>
            <w:pPr>
              <w:spacing w:after="0"/>
              <w:rPr>
                <w:sz w:val="11"/>
                <w:szCs w:val="11"/>
                <w:color w:val="auto"/>
              </w:rPr>
            </w:pPr>
          </w:p>
        </w:tc>
        <w:tc>
          <w:tcPr>
            <w:tcW w:w="164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204,989</w:t>
            </w:r>
          </w:p>
        </w:tc>
        <w:tc>
          <w:tcPr>
            <w:tcW w:w="0" w:type="dxa"/>
            <w:vAlign w:val="bottom"/>
          </w:tcPr>
          <w:p>
            <w:pPr>
              <w:spacing w:after="0"/>
              <w:rPr>
                <w:sz w:val="1"/>
                <w:szCs w:val="1"/>
                <w:color w:val="auto"/>
              </w:rPr>
            </w:pPr>
          </w:p>
        </w:tc>
      </w:tr>
      <w:tr>
        <w:trPr>
          <w:trHeight w:val="144"/>
        </w:trPr>
        <w:tc>
          <w:tcPr>
            <w:tcW w:w="30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Adriana Mendizabal</w:t>
            </w:r>
            <w:r>
              <w:rPr>
                <w:rFonts w:ascii="Times New Roman" w:cs="Times New Roman" w:eastAsia="Times New Roman" w:hAnsi="Times New Roman"/>
                <w:sz w:val="16"/>
                <w:szCs w:val="16"/>
                <w:color w:val="auto"/>
                <w:vertAlign w:val="superscript"/>
              </w:rPr>
              <w:t>(5)</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72,917</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90,000</w:t>
            </w:r>
          </w:p>
        </w:tc>
        <w:tc>
          <w:tcPr>
            <w:tcW w:w="1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282,906</w:t>
            </w:r>
          </w:p>
        </w:tc>
        <w:tc>
          <w:tcPr>
            <w:tcW w:w="0" w:type="dxa"/>
            <w:vAlign w:val="bottom"/>
          </w:tcPr>
          <w:p>
            <w:pPr>
              <w:spacing w:after="0"/>
              <w:rPr>
                <w:sz w:val="1"/>
                <w:szCs w:val="1"/>
                <w:color w:val="auto"/>
              </w:rPr>
            </w:pPr>
          </w:p>
        </w:tc>
      </w:tr>
      <w:tr>
        <w:trPr>
          <w:trHeight w:val="144"/>
        </w:trPr>
        <w:tc>
          <w:tcPr>
            <w:tcW w:w="3060" w:type="dxa"/>
            <w:vAlign w:val="bottom"/>
            <w:gridSpan w:val="2"/>
            <w:shd w:val="clear" w:color="auto" w:fill="CCFFEE"/>
          </w:tcPr>
          <w:p>
            <w:pPr>
              <w:spacing w:after="0" w:line="144" w:lineRule="exact"/>
              <w:rPr>
                <w:sz w:val="20"/>
                <w:szCs w:val="20"/>
                <w:color w:val="auto"/>
              </w:rPr>
            </w:pPr>
            <w:r>
              <w:rPr>
                <w:rFonts w:ascii="Times New Roman" w:cs="Times New Roman" w:eastAsia="Times New Roman" w:hAnsi="Times New Roman"/>
                <w:sz w:val="11"/>
                <w:szCs w:val="11"/>
                <w:color w:val="auto"/>
              </w:rPr>
              <w:t>Michael A. DiGregorio</w:t>
            </w:r>
            <w:r>
              <w:rPr>
                <w:rFonts w:ascii="Times New Roman" w:cs="Times New Roman" w:eastAsia="Times New Roman" w:hAnsi="Times New Roman"/>
                <w:sz w:val="16"/>
                <w:szCs w:val="16"/>
                <w:color w:val="auto"/>
                <w:vertAlign w:val="superscript"/>
              </w:rPr>
              <w:t>(5)</w:t>
            </w:r>
          </w:p>
        </w:tc>
        <w:tc>
          <w:tcPr>
            <w:tcW w:w="10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94,500</w:t>
            </w:r>
          </w:p>
        </w:tc>
        <w:tc>
          <w:tcPr>
            <w:tcW w:w="140" w:type="dxa"/>
            <w:vAlign w:val="bottom"/>
            <w:shd w:val="clear" w:color="auto" w:fill="CCFFEE"/>
          </w:tcPr>
          <w:p>
            <w:pPr>
              <w:spacing w:after="0"/>
              <w:rPr>
                <w:sz w:val="12"/>
                <w:szCs w:val="12"/>
                <w:color w:val="auto"/>
              </w:rPr>
            </w:pPr>
          </w:p>
        </w:tc>
        <w:tc>
          <w:tcPr>
            <w:tcW w:w="9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shd w:val="clear" w:color="auto" w:fill="CCFFEE"/>
          </w:tcPr>
          <w:p>
            <w:pPr>
              <w:spacing w:after="0"/>
              <w:rPr>
                <w:sz w:val="12"/>
                <w:szCs w:val="12"/>
                <w:color w:val="auto"/>
              </w:rPr>
            </w:pPr>
          </w:p>
        </w:tc>
        <w:tc>
          <w:tcPr>
            <w:tcW w:w="10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shd w:val="clear" w:color="auto" w:fill="CCFFEE"/>
          </w:tcPr>
          <w:p>
            <w:pPr>
              <w:spacing w:after="0"/>
              <w:rPr>
                <w:sz w:val="12"/>
                <w:szCs w:val="12"/>
                <w:color w:val="auto"/>
              </w:rPr>
            </w:pPr>
          </w:p>
        </w:tc>
        <w:tc>
          <w:tcPr>
            <w:tcW w:w="16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214,489</w:t>
            </w:r>
          </w:p>
        </w:tc>
        <w:tc>
          <w:tcPr>
            <w:tcW w:w="0" w:type="dxa"/>
            <w:vAlign w:val="bottom"/>
          </w:tcPr>
          <w:p>
            <w:pPr>
              <w:spacing w:after="0"/>
              <w:rPr>
                <w:sz w:val="1"/>
                <w:szCs w:val="1"/>
                <w:color w:val="auto"/>
              </w:rPr>
            </w:pPr>
          </w:p>
        </w:tc>
      </w:tr>
      <w:tr>
        <w:trPr>
          <w:trHeight w:val="144"/>
        </w:trPr>
        <w:tc>
          <w:tcPr>
            <w:tcW w:w="30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Harold Edwards</w:t>
            </w:r>
            <w:r>
              <w:rPr>
                <w:rFonts w:ascii="Times New Roman" w:cs="Times New Roman" w:eastAsia="Times New Roman" w:hAnsi="Times New Roman"/>
                <w:sz w:val="16"/>
                <w:szCs w:val="16"/>
                <w:color w:val="auto"/>
                <w:vertAlign w:val="superscript"/>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18,500</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18,500</w:t>
            </w:r>
          </w:p>
        </w:tc>
        <w:tc>
          <w:tcPr>
            <w:tcW w:w="0" w:type="dxa"/>
            <w:vAlign w:val="bottom"/>
          </w:tcPr>
          <w:p>
            <w:pPr>
              <w:spacing w:after="0"/>
              <w:rPr>
                <w:sz w:val="1"/>
                <w:szCs w:val="1"/>
                <w:color w:val="auto"/>
              </w:rPr>
            </w:pPr>
          </w:p>
        </w:tc>
      </w:tr>
      <w:tr>
        <w:trPr>
          <w:trHeight w:val="144"/>
        </w:trPr>
        <w:tc>
          <w:tcPr>
            <w:tcW w:w="306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James Helin</w:t>
            </w:r>
          </w:p>
        </w:tc>
        <w:tc>
          <w:tcPr>
            <w:tcW w:w="10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86,750</w:t>
            </w:r>
          </w:p>
        </w:tc>
        <w:tc>
          <w:tcPr>
            <w:tcW w:w="140" w:type="dxa"/>
            <w:vAlign w:val="bottom"/>
            <w:shd w:val="clear" w:color="auto" w:fill="CCFFEE"/>
          </w:tcPr>
          <w:p>
            <w:pPr>
              <w:spacing w:after="0"/>
              <w:rPr>
                <w:sz w:val="12"/>
                <w:szCs w:val="12"/>
                <w:color w:val="auto"/>
              </w:rPr>
            </w:pPr>
          </w:p>
        </w:tc>
        <w:tc>
          <w:tcPr>
            <w:tcW w:w="9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shd w:val="clear" w:color="auto" w:fill="CCFFEE"/>
          </w:tcPr>
          <w:p>
            <w:pPr>
              <w:spacing w:after="0"/>
              <w:rPr>
                <w:sz w:val="12"/>
                <w:szCs w:val="12"/>
                <w:color w:val="auto"/>
              </w:rPr>
            </w:pPr>
          </w:p>
        </w:tc>
        <w:tc>
          <w:tcPr>
            <w:tcW w:w="10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shd w:val="clear" w:color="auto" w:fill="CCFFEE"/>
          </w:tcPr>
          <w:p>
            <w:pPr>
              <w:spacing w:after="0"/>
              <w:rPr>
                <w:sz w:val="12"/>
                <w:szCs w:val="12"/>
                <w:color w:val="auto"/>
              </w:rPr>
            </w:pPr>
          </w:p>
        </w:tc>
        <w:tc>
          <w:tcPr>
            <w:tcW w:w="16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206,739</w:t>
            </w:r>
          </w:p>
        </w:tc>
        <w:tc>
          <w:tcPr>
            <w:tcW w:w="0" w:type="dxa"/>
            <w:vAlign w:val="bottom"/>
          </w:tcPr>
          <w:p>
            <w:pPr>
              <w:spacing w:after="0"/>
              <w:rPr>
                <w:sz w:val="1"/>
                <w:szCs w:val="1"/>
                <w:color w:val="auto"/>
              </w:rPr>
            </w:pPr>
          </w:p>
        </w:tc>
      </w:tr>
      <w:tr>
        <w:trPr>
          <w:trHeight w:val="144"/>
        </w:trPr>
        <w:tc>
          <w:tcPr>
            <w:tcW w:w="30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Steven Hollister</w:t>
            </w:r>
            <w:r>
              <w:rPr>
                <w:rFonts w:ascii="Times New Roman" w:cs="Times New Roman" w:eastAsia="Times New Roman" w:hAnsi="Times New Roman"/>
                <w:sz w:val="16"/>
                <w:szCs w:val="16"/>
                <w:color w:val="auto"/>
                <w:vertAlign w:val="superscript"/>
              </w:rPr>
              <w:t>(5)(7)</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103,000</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222,989</w:t>
            </w:r>
          </w:p>
        </w:tc>
        <w:tc>
          <w:tcPr>
            <w:tcW w:w="0" w:type="dxa"/>
            <w:vAlign w:val="bottom"/>
          </w:tcPr>
          <w:p>
            <w:pPr>
              <w:spacing w:after="0"/>
              <w:rPr>
                <w:sz w:val="1"/>
                <w:szCs w:val="1"/>
                <w:color w:val="auto"/>
              </w:rPr>
            </w:pPr>
          </w:p>
        </w:tc>
      </w:tr>
      <w:tr>
        <w:trPr>
          <w:trHeight w:val="144"/>
        </w:trPr>
        <w:tc>
          <w:tcPr>
            <w:tcW w:w="3060" w:type="dxa"/>
            <w:vAlign w:val="bottom"/>
            <w:gridSpan w:val="2"/>
            <w:shd w:val="clear" w:color="auto" w:fill="CCFFEE"/>
          </w:tcPr>
          <w:p>
            <w:pPr>
              <w:spacing w:after="0" w:line="144" w:lineRule="exact"/>
              <w:rPr>
                <w:sz w:val="20"/>
                <w:szCs w:val="20"/>
                <w:color w:val="auto"/>
              </w:rPr>
            </w:pPr>
            <w:r>
              <w:rPr>
                <w:rFonts w:ascii="Times New Roman" w:cs="Times New Roman" w:eastAsia="Times New Roman" w:hAnsi="Times New Roman"/>
                <w:sz w:val="11"/>
                <w:szCs w:val="11"/>
                <w:color w:val="auto"/>
              </w:rPr>
              <w:t>Kathleen M. Holmgren</w:t>
            </w:r>
            <w:r>
              <w:rPr>
                <w:rFonts w:ascii="Times New Roman" w:cs="Times New Roman" w:eastAsia="Times New Roman" w:hAnsi="Times New Roman"/>
                <w:sz w:val="16"/>
                <w:szCs w:val="16"/>
                <w:color w:val="auto"/>
                <w:vertAlign w:val="superscript"/>
              </w:rPr>
              <w:t>(5)</w:t>
            </w:r>
          </w:p>
        </w:tc>
        <w:tc>
          <w:tcPr>
            <w:tcW w:w="10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101,750</w:t>
            </w:r>
          </w:p>
        </w:tc>
        <w:tc>
          <w:tcPr>
            <w:tcW w:w="140" w:type="dxa"/>
            <w:vAlign w:val="bottom"/>
            <w:shd w:val="clear" w:color="auto" w:fill="CCFFEE"/>
          </w:tcPr>
          <w:p>
            <w:pPr>
              <w:spacing w:after="0"/>
              <w:rPr>
                <w:sz w:val="12"/>
                <w:szCs w:val="12"/>
                <w:color w:val="auto"/>
              </w:rPr>
            </w:pPr>
          </w:p>
        </w:tc>
        <w:tc>
          <w:tcPr>
            <w:tcW w:w="9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shd w:val="clear" w:color="auto" w:fill="CCFFEE"/>
          </w:tcPr>
          <w:p>
            <w:pPr>
              <w:spacing w:after="0"/>
              <w:rPr>
                <w:sz w:val="12"/>
                <w:szCs w:val="12"/>
                <w:color w:val="auto"/>
              </w:rPr>
            </w:pPr>
          </w:p>
        </w:tc>
        <w:tc>
          <w:tcPr>
            <w:tcW w:w="10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shd w:val="clear" w:color="auto" w:fill="CCFFEE"/>
          </w:tcPr>
          <w:p>
            <w:pPr>
              <w:spacing w:after="0"/>
              <w:rPr>
                <w:sz w:val="12"/>
                <w:szCs w:val="12"/>
                <w:color w:val="auto"/>
              </w:rPr>
            </w:pPr>
          </w:p>
        </w:tc>
        <w:tc>
          <w:tcPr>
            <w:tcW w:w="16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221,739</w:t>
            </w:r>
          </w:p>
        </w:tc>
        <w:tc>
          <w:tcPr>
            <w:tcW w:w="0" w:type="dxa"/>
            <w:vAlign w:val="bottom"/>
          </w:tcPr>
          <w:p>
            <w:pPr>
              <w:spacing w:after="0"/>
              <w:rPr>
                <w:sz w:val="1"/>
                <w:szCs w:val="1"/>
                <w:color w:val="auto"/>
              </w:rPr>
            </w:pPr>
          </w:p>
        </w:tc>
      </w:tr>
      <w:tr>
        <w:trPr>
          <w:trHeight w:val="144"/>
        </w:trPr>
        <w:tc>
          <w:tcPr>
            <w:tcW w:w="30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John M. Hunt</w:t>
            </w:r>
            <w:r>
              <w:rPr>
                <w:rFonts w:ascii="Times New Roman" w:cs="Times New Roman" w:eastAsia="Times New Roman" w:hAnsi="Times New Roman"/>
                <w:sz w:val="16"/>
                <w:szCs w:val="16"/>
                <w:color w:val="auto"/>
                <w:vertAlign w:val="superscript"/>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83,000</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202,989</w:t>
            </w:r>
          </w:p>
        </w:tc>
        <w:tc>
          <w:tcPr>
            <w:tcW w:w="0" w:type="dxa"/>
            <w:vAlign w:val="bottom"/>
          </w:tcPr>
          <w:p>
            <w:pPr>
              <w:spacing w:after="0"/>
              <w:rPr>
                <w:sz w:val="1"/>
                <w:szCs w:val="1"/>
                <w:color w:val="auto"/>
              </w:rPr>
            </w:pPr>
          </w:p>
        </w:tc>
      </w:tr>
      <w:tr>
        <w:trPr>
          <w:trHeight w:val="144"/>
        </w:trPr>
        <w:tc>
          <w:tcPr>
            <w:tcW w:w="306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J. Link Leavens</w:t>
            </w:r>
          </w:p>
        </w:tc>
        <w:tc>
          <w:tcPr>
            <w:tcW w:w="10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84,000</w:t>
            </w:r>
          </w:p>
        </w:tc>
        <w:tc>
          <w:tcPr>
            <w:tcW w:w="140" w:type="dxa"/>
            <w:vAlign w:val="bottom"/>
            <w:shd w:val="clear" w:color="auto" w:fill="CCFFEE"/>
          </w:tcPr>
          <w:p>
            <w:pPr>
              <w:spacing w:after="0"/>
              <w:rPr>
                <w:sz w:val="12"/>
                <w:szCs w:val="12"/>
                <w:color w:val="auto"/>
              </w:rPr>
            </w:pPr>
          </w:p>
        </w:tc>
        <w:tc>
          <w:tcPr>
            <w:tcW w:w="9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shd w:val="clear" w:color="auto" w:fill="CCFFEE"/>
          </w:tcPr>
          <w:p>
            <w:pPr>
              <w:spacing w:after="0"/>
              <w:rPr>
                <w:sz w:val="12"/>
                <w:szCs w:val="12"/>
                <w:color w:val="auto"/>
              </w:rPr>
            </w:pPr>
          </w:p>
        </w:tc>
        <w:tc>
          <w:tcPr>
            <w:tcW w:w="10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shd w:val="clear" w:color="auto" w:fill="CCFFEE"/>
          </w:tcPr>
          <w:p>
            <w:pPr>
              <w:spacing w:after="0"/>
              <w:rPr>
                <w:sz w:val="12"/>
                <w:szCs w:val="12"/>
                <w:color w:val="auto"/>
              </w:rPr>
            </w:pPr>
          </w:p>
        </w:tc>
        <w:tc>
          <w:tcPr>
            <w:tcW w:w="16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203,989</w:t>
            </w:r>
          </w:p>
        </w:tc>
        <w:tc>
          <w:tcPr>
            <w:tcW w:w="0" w:type="dxa"/>
            <w:vAlign w:val="bottom"/>
          </w:tcPr>
          <w:p>
            <w:pPr>
              <w:spacing w:after="0"/>
              <w:rPr>
                <w:sz w:val="1"/>
                <w:szCs w:val="1"/>
                <w:color w:val="auto"/>
              </w:rPr>
            </w:pPr>
          </w:p>
        </w:tc>
      </w:tr>
      <w:tr>
        <w:trPr>
          <w:trHeight w:val="144"/>
        </w:trPr>
        <w:tc>
          <w:tcPr>
            <w:tcW w:w="30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Donald M. Sanders</w:t>
            </w:r>
            <w:r>
              <w:rPr>
                <w:rFonts w:ascii="Times New Roman" w:cs="Times New Roman" w:eastAsia="Times New Roman" w:hAnsi="Times New Roman"/>
                <w:sz w:val="16"/>
                <w:szCs w:val="16"/>
                <w:color w:val="auto"/>
                <w:vertAlign w:val="superscript"/>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74,000</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119,989</w:t>
            </w:r>
          </w:p>
        </w:tc>
        <w:tc>
          <w:tcPr>
            <w:tcW w:w="3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193,989</w:t>
            </w:r>
          </w:p>
        </w:tc>
        <w:tc>
          <w:tcPr>
            <w:tcW w:w="0" w:type="dxa"/>
            <w:vAlign w:val="bottom"/>
          </w:tcPr>
          <w:p>
            <w:pPr>
              <w:spacing w:after="0"/>
              <w:rPr>
                <w:sz w:val="1"/>
                <w:szCs w:val="1"/>
                <w:color w:val="auto"/>
              </w:rPr>
            </w:pPr>
          </w:p>
        </w:tc>
      </w:tr>
      <w:tr>
        <w:trPr>
          <w:trHeight w:val="144"/>
        </w:trPr>
        <w:tc>
          <w:tcPr>
            <w:tcW w:w="3060" w:type="dxa"/>
            <w:vAlign w:val="bottom"/>
            <w:gridSpan w:val="2"/>
            <w:shd w:val="clear" w:color="auto" w:fill="CCFFEE"/>
          </w:tcPr>
          <w:p>
            <w:pPr>
              <w:spacing w:after="0" w:line="144" w:lineRule="exact"/>
              <w:rPr>
                <w:sz w:val="20"/>
                <w:szCs w:val="20"/>
                <w:color w:val="auto"/>
              </w:rPr>
            </w:pPr>
            <w:r>
              <w:rPr>
                <w:rFonts w:ascii="Times New Roman" w:cs="Times New Roman" w:eastAsia="Times New Roman" w:hAnsi="Times New Roman"/>
                <w:sz w:val="11"/>
                <w:szCs w:val="11"/>
                <w:color w:val="auto"/>
              </w:rPr>
              <w:t>Scott Van Der Kar</w:t>
            </w:r>
            <w:r>
              <w:rPr>
                <w:rFonts w:ascii="Times New Roman" w:cs="Times New Roman" w:eastAsia="Times New Roman" w:hAnsi="Times New Roman"/>
                <w:sz w:val="16"/>
                <w:szCs w:val="16"/>
                <w:color w:val="auto"/>
                <w:vertAlign w:val="superscript"/>
              </w:rPr>
              <w:t>(6)</w:t>
            </w:r>
          </w:p>
        </w:tc>
        <w:tc>
          <w:tcPr>
            <w:tcW w:w="10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12,333</w:t>
            </w:r>
          </w:p>
        </w:tc>
        <w:tc>
          <w:tcPr>
            <w:tcW w:w="140" w:type="dxa"/>
            <w:vAlign w:val="bottom"/>
            <w:shd w:val="clear" w:color="auto" w:fill="CCFFEE"/>
          </w:tcPr>
          <w:p>
            <w:pPr>
              <w:spacing w:after="0"/>
              <w:rPr>
                <w:sz w:val="12"/>
                <w:szCs w:val="12"/>
                <w:color w:val="auto"/>
              </w:rPr>
            </w:pPr>
          </w:p>
        </w:tc>
        <w:tc>
          <w:tcPr>
            <w:tcW w:w="9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FFEE"/>
          </w:tcPr>
          <w:p>
            <w:pPr>
              <w:spacing w:after="0"/>
              <w:rPr>
                <w:sz w:val="12"/>
                <w:szCs w:val="12"/>
                <w:color w:val="auto"/>
              </w:rPr>
            </w:pPr>
          </w:p>
        </w:tc>
        <w:tc>
          <w:tcPr>
            <w:tcW w:w="10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shd w:val="clear" w:color="auto" w:fill="CCFFEE"/>
          </w:tcPr>
          <w:p>
            <w:pPr>
              <w:spacing w:after="0"/>
              <w:rPr>
                <w:sz w:val="12"/>
                <w:szCs w:val="12"/>
                <w:color w:val="auto"/>
              </w:rPr>
            </w:pPr>
          </w:p>
        </w:tc>
        <w:tc>
          <w:tcPr>
            <w:tcW w:w="16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12,333</w:t>
            </w:r>
          </w:p>
        </w:tc>
        <w:tc>
          <w:tcPr>
            <w:tcW w:w="0" w:type="dxa"/>
            <w:vAlign w:val="bottom"/>
          </w:tcPr>
          <w:p>
            <w:pPr>
              <w:spacing w:after="0"/>
              <w:rPr>
                <w:sz w:val="1"/>
                <w:szCs w:val="1"/>
                <w:color w:val="auto"/>
              </w:rPr>
            </w:pPr>
          </w:p>
        </w:tc>
      </w:tr>
      <w:tr>
        <w:trPr>
          <w:trHeight w:val="155"/>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Farha Aslam</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80,500</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182,584</w:t>
            </w:r>
          </w:p>
        </w:tc>
        <w:tc>
          <w:tcPr>
            <w:tcW w:w="300" w:type="dxa"/>
            <w:vAlign w:val="bottom"/>
          </w:tcPr>
          <w:p>
            <w:pPr>
              <w:jc w:val="right"/>
              <w:ind w:right="155"/>
              <w:spacing w:after="0"/>
              <w:rPr>
                <w:sz w:val="20"/>
                <w:szCs w:val="20"/>
                <w:color w:val="auto"/>
              </w:rPr>
            </w:pPr>
            <w:r>
              <w:rPr>
                <w:rFonts w:ascii="Times New Roman" w:cs="Times New Roman" w:eastAsia="Times New Roman" w:hAnsi="Times New Roman"/>
                <w:sz w:val="9"/>
                <w:szCs w:val="9"/>
                <w:color w:val="auto"/>
                <w:w w:val="75"/>
              </w:rPr>
              <w:t>(4)</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14287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43" w:lineRule="exact"/>
        <w:rPr>
          <w:sz w:val="20"/>
          <w:szCs w:val="20"/>
          <w:color w:val="auto"/>
        </w:rPr>
      </w:pPr>
    </w:p>
    <w:p>
      <w:pPr>
        <w:ind w:left="440" w:right="59" w:hanging="209"/>
        <w:spacing w:after="0" w:line="219" w:lineRule="auto"/>
        <w:tabs>
          <w:tab w:leader="none" w:pos="440" w:val="left"/>
        </w:tabs>
        <w:numPr>
          <w:ilvl w:val="0"/>
          <w:numId w:val="15"/>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The estimated grant date values for the above stock and option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December 20, 2022 for the fiscal year ended October 31, 2022.</w:t>
      </w:r>
    </w:p>
    <w:p>
      <w:pPr>
        <w:spacing w:after="0" w:line="75" w:lineRule="exact"/>
        <w:rPr>
          <w:rFonts w:ascii="Times New Roman" w:cs="Times New Roman" w:eastAsia="Times New Roman" w:hAnsi="Times New Roman"/>
          <w:sz w:val="7"/>
          <w:szCs w:val="7"/>
          <w:color w:val="auto"/>
        </w:rPr>
      </w:pPr>
    </w:p>
    <w:p>
      <w:pPr>
        <w:ind w:left="440" w:right="219" w:hanging="209"/>
        <w:spacing w:after="0" w:line="232" w:lineRule="auto"/>
        <w:tabs>
          <w:tab w:leader="none" w:pos="440" w:val="left"/>
        </w:tabs>
        <w:numPr>
          <w:ilvl w:val="0"/>
          <w:numId w:val="15"/>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The grant date aggregate fair value of restricted stock granted during fiscal year 2022 for the non-employee directors, computed in accordance with FASB ASC Topic 718, was $1,199,890. Such grants vested in full on January 3, 2023. The closing share price of our common stock at the grant date was $42.64 and the number of shares awarded to each grantee was 2,814.</w:t>
      </w:r>
    </w:p>
    <w:p>
      <w:pPr>
        <w:spacing w:after="0" w:line="119" w:lineRule="exact"/>
        <w:rPr>
          <w:rFonts w:ascii="Times New Roman" w:cs="Times New Roman" w:eastAsia="Times New Roman" w:hAnsi="Times New Roman"/>
          <w:sz w:val="7"/>
          <w:szCs w:val="7"/>
          <w:color w:val="auto"/>
        </w:rPr>
      </w:pPr>
    </w:p>
    <w:p>
      <w:pPr>
        <w:ind w:left="440" w:right="159" w:hanging="209"/>
        <w:spacing w:after="0" w:line="223" w:lineRule="auto"/>
        <w:tabs>
          <w:tab w:leader="none" w:pos="440" w:val="left"/>
        </w:tabs>
        <w:numPr>
          <w:ilvl w:val="0"/>
          <w:numId w:val="15"/>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On December 1, 2021, the Board approved the issuance of a stock option under the 2020 Plan to acquire a total of 10,000 shares of our common stock to Ms. Mendizabal in connection with her appointment to the Board. Such grant vests annually in equal increments over a five-year period after the date of grant and has an exercise price of $39.66 per share. Vested options have an exercise period of five years from the vesting date. The closing share price of our stock at the grant date was $39.66.</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440" w:right="219" w:hanging="209"/>
        <w:spacing w:after="0" w:line="232" w:lineRule="auto"/>
        <w:tabs>
          <w:tab w:leader="none" w:pos="440"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In addition to the annual equity compensation award, this includes a January 20, 2022 grant of 1,500 vested shares under the 2020 Plan. The shares were originally supposed to have been granted as a component of Ms. Aslam’s compensation for services rendered as a director during the 2021 fiscal year, but were not previously issued. The closing share price of our stock upon such grant date was $41.73.</w:t>
      </w:r>
    </w:p>
    <w:p>
      <w:pPr>
        <w:spacing w:after="0" w:line="74" w:lineRule="exact"/>
        <w:rPr>
          <w:rFonts w:ascii="Times New Roman" w:cs="Times New Roman" w:eastAsia="Times New Roman" w:hAnsi="Times New Roman"/>
          <w:sz w:val="7"/>
          <w:szCs w:val="7"/>
          <w:color w:val="auto"/>
        </w:rPr>
      </w:pPr>
    </w:p>
    <w:p>
      <w:pPr>
        <w:ind w:left="440" w:right="199" w:hanging="209"/>
        <w:spacing w:after="0" w:line="232" w:lineRule="auto"/>
        <w:tabs>
          <w:tab w:leader="none" w:pos="440"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As of the last day of fiscal 2022, Ms. Mendizabal, Mr. DiGregorio, Ms. Holmgren and Mr. Hollister held stock options to acquire 10,000, 2,000, 8,000 and 5,000 shares of our common stock, respectively. No other non-employee director held any stock options.</w:t>
      </w:r>
    </w:p>
    <w:p>
      <w:pPr>
        <w:spacing w:after="0" w:line="74" w:lineRule="exact"/>
        <w:rPr>
          <w:rFonts w:ascii="Times New Roman" w:cs="Times New Roman" w:eastAsia="Times New Roman" w:hAnsi="Times New Roman"/>
          <w:sz w:val="7"/>
          <w:szCs w:val="7"/>
          <w:color w:val="auto"/>
        </w:rPr>
      </w:pPr>
    </w:p>
    <w:p>
      <w:pPr>
        <w:ind w:left="440" w:hanging="209"/>
        <w:spacing w:after="0"/>
        <w:tabs>
          <w:tab w:leader="none" w:pos="440"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Mr. Van Der Kar retired from the Board effective January 3, 2022. Mr. Edwards resigned from the Board effective February 1, 2022.</w:t>
      </w:r>
    </w:p>
    <w:p>
      <w:pPr>
        <w:spacing w:after="0" w:line="83" w:lineRule="exact"/>
        <w:rPr>
          <w:rFonts w:ascii="Times New Roman" w:cs="Times New Roman" w:eastAsia="Times New Roman" w:hAnsi="Times New Roman"/>
          <w:sz w:val="7"/>
          <w:szCs w:val="7"/>
          <w:color w:val="auto"/>
        </w:rPr>
      </w:pPr>
    </w:p>
    <w:p>
      <w:pPr>
        <w:ind w:left="440" w:hanging="209"/>
        <w:spacing w:after="0"/>
        <w:tabs>
          <w:tab w:leader="none" w:pos="440"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Mr. Hollister also served as Interim Chief Executive Officer during part of Fiscal Year 2022 and received compensation for such services as reported in the Summary Compensation Table.</w:t>
      </w:r>
    </w:p>
    <w:p>
      <w:pPr>
        <w:spacing w:after="0" w:line="83" w:lineRule="exact"/>
        <w:rPr>
          <w:rFonts w:ascii="Times New Roman" w:cs="Times New Roman" w:eastAsia="Times New Roman" w:hAnsi="Times New Roman"/>
          <w:sz w:val="7"/>
          <w:szCs w:val="7"/>
          <w:color w:val="auto"/>
        </w:rPr>
      </w:pPr>
    </w:p>
    <w:p>
      <w:pPr>
        <w:ind w:left="440" w:hanging="209"/>
        <w:spacing w:after="0"/>
        <w:tabs>
          <w:tab w:leader="none" w:pos="440"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Mr. Hunt and Mr. Sanders declined to stand for re-election at the Annual Meeting.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09"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There are nine nominees for election to our Board this year. Except for Brian Kocher, all of the nominees have served as directors since the last Annual Meeting. Each director is elected annually to serve until the next Annual Meeting or until his or her successor is elected. There are no family relationships among our executive officers and directors.</w:t>
      </w:r>
    </w:p>
    <w:p>
      <w:pPr>
        <w:spacing w:after="0" w:line="66" w:lineRule="exact"/>
        <w:rPr>
          <w:sz w:val="20"/>
          <w:szCs w:val="20"/>
          <w:color w:val="auto"/>
        </w:rPr>
      </w:pPr>
    </w:p>
    <w:p>
      <w:pPr>
        <w:ind w:left="20" w:right="99"/>
        <w:spacing w:after="0" w:line="256" w:lineRule="auto"/>
        <w:rPr>
          <w:sz w:val="20"/>
          <w:szCs w:val="20"/>
          <w:color w:val="auto"/>
        </w:rPr>
      </w:pPr>
      <w:r>
        <w:rPr>
          <w:rFonts w:ascii="Times New Roman" w:cs="Times New Roman" w:eastAsia="Times New Roman" w:hAnsi="Times New Roman"/>
          <w:sz w:val="12"/>
          <w:szCs w:val="12"/>
          <w:color w:val="auto"/>
        </w:rPr>
        <w:t>The nine director candidates receiving the highest number of affirmative votes at the Annual Meeting will be elected. 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80"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If you vote online or sign and return your proxy or voting instruction card but do not give instructions with respect to voting for directors, your shares will be voted for the nine persons recommended by the Board. If you wish to give specific instructions with respect to voting for directors, you may do so by indicating your instructions on your proxy or voting instruction card.</w:t>
      </w:r>
    </w:p>
    <w:p>
      <w:pPr>
        <w:spacing w:after="0" w:line="74"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You may cumulate your votes in favor of one or more directors. If you wish to cumulate your votes, you will need to indicate explicitly your intent to cumulate your votes among the nine persons who will be voted upon at the Annual Meeting, and if you are a shareholder of record, you will need to return your proxy card or vote in person (not virtually) at the Annual Meeting in order to instruct or direct cumulative voting. See "Questions and Answers—Voting Information—Is cumulative voting permitted for the election of directors?" for further information about how to cumulate your votes.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All of the nominees have indicated to Calavo that they will be available to serve as directors. In the event that any nominee should become unavailable, however, the proxy holders, Mr.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Leavens and Mr. Hollister, will vote for a nominee or nominees designated by the Board.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jc w:val="center"/>
              <w:ind w:left="1440"/>
              <w:spacing w:after="0"/>
              <w:rPr>
                <w:sz w:val="20"/>
                <w:szCs w:val="20"/>
                <w:color w:val="auto"/>
              </w:rPr>
            </w:pPr>
            <w:r>
              <w:rPr>
                <w:rFonts w:ascii="Times New Roman" w:cs="Times New Roman" w:eastAsia="Times New Roman" w:hAnsi="Times New Roman"/>
                <w:sz w:val="14"/>
                <w:szCs w:val="14"/>
                <w:b w:val="1"/>
                <w:bCs w:val="1"/>
                <w:i w:val="1"/>
                <w:iCs w:val="1"/>
                <w:color w:val="auto"/>
              </w:rPr>
              <w:t>Farha Aslam</w:t>
            </w: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r>
      <w:tr>
        <w:trPr>
          <w:trHeight w:val="120"/>
        </w:trPr>
        <w:tc>
          <w:tcPr>
            <w:tcW w:w="10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i w:val="1"/>
                <w:iCs w:val="1"/>
                <w:color w:val="auto"/>
              </w:rPr>
              <w:t>Director Since: 2021</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144"/>
        </w:trPr>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54</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161"/>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220"/>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Other public company</w:t>
            </w: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125"/>
        </w:trPr>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Committees:</w:t>
            </w:r>
          </w:p>
        </w:tc>
        <w:tc>
          <w:tcPr>
            <w:tcW w:w="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boards:</w:t>
            </w:r>
          </w:p>
        </w:tc>
        <w:tc>
          <w:tcPr>
            <w:tcW w:w="140" w:type="dxa"/>
            <w:vAlign w:val="bottom"/>
          </w:tcPr>
          <w:p>
            <w:pPr>
              <w:spacing w:after="0"/>
              <w:rPr>
                <w:sz w:val="10"/>
                <w:szCs w:val="10"/>
                <w:color w:val="auto"/>
              </w:rPr>
            </w:pPr>
          </w:p>
        </w:tc>
        <w:tc>
          <w:tcPr>
            <w:tcW w:w="3140" w:type="dxa"/>
            <w:vAlign w:val="bottom"/>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Pr>
          <w:p>
            <w:pPr>
              <w:spacing w:after="0"/>
              <w:rPr>
                <w:sz w:val="10"/>
                <w:szCs w:val="10"/>
                <w:color w:val="auto"/>
              </w:rPr>
            </w:pPr>
          </w:p>
        </w:tc>
        <w:tc>
          <w:tcPr>
            <w:tcW w:w="3540" w:type="dxa"/>
            <w:vAlign w:val="bottom"/>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10"/>
        </w:trPr>
        <w:tc>
          <w:tcPr>
            <w:tcW w:w="940" w:type="dxa"/>
            <w:vAlign w:val="bottom"/>
            <w:tcBorders>
              <w:top w:val="single" w:sz="8" w:color="auto"/>
            </w:tcBorders>
            <w:shd w:val="clear" w:color="auto" w:fill="CCFFEE"/>
          </w:tcPr>
          <w:p>
            <w:pPr>
              <w:ind w:left="40"/>
              <w:spacing w:after="0" w:line="110" w:lineRule="exact"/>
              <w:rPr>
                <w:sz w:val="20"/>
                <w:szCs w:val="20"/>
                <w:color w:val="auto"/>
              </w:rPr>
            </w:pPr>
            <w:r>
              <w:rPr>
                <w:rFonts w:ascii="Times New Roman" w:cs="Times New Roman" w:eastAsia="Times New Roman" w:hAnsi="Times New Roman"/>
                <w:sz w:val="10"/>
                <w:szCs w:val="10"/>
                <w:color w:val="auto"/>
              </w:rPr>
              <w:t>Compensation</w:t>
            </w:r>
          </w:p>
        </w:tc>
        <w:tc>
          <w:tcPr>
            <w:tcW w:w="100" w:type="dxa"/>
            <w:vAlign w:val="bottom"/>
            <w:tcBorders>
              <w:top w:val="single" w:sz="8" w:color="CCFFEE"/>
            </w:tcBorders>
            <w:shd w:val="clear" w:color="auto" w:fill="CCFFEE"/>
          </w:tcPr>
          <w:p>
            <w:pPr>
              <w:spacing w:after="0"/>
              <w:rPr>
                <w:sz w:val="9"/>
                <w:szCs w:val="9"/>
                <w:color w:val="auto"/>
              </w:rPr>
            </w:pPr>
          </w:p>
        </w:tc>
        <w:tc>
          <w:tcPr>
            <w:tcW w:w="60" w:type="dxa"/>
            <w:vAlign w:val="bottom"/>
            <w:tcBorders>
              <w:top w:val="single" w:sz="8" w:color="CCFFEE"/>
            </w:tcBorders>
            <w:shd w:val="clear" w:color="auto" w:fill="CCFFEE"/>
          </w:tcPr>
          <w:p>
            <w:pPr>
              <w:spacing w:after="0"/>
              <w:rPr>
                <w:sz w:val="9"/>
                <w:szCs w:val="9"/>
                <w:color w:val="auto"/>
              </w:rPr>
            </w:pPr>
          </w:p>
        </w:tc>
        <w:tc>
          <w:tcPr>
            <w:tcW w:w="920" w:type="dxa"/>
            <w:vAlign w:val="bottom"/>
            <w:tcBorders>
              <w:top w:val="single" w:sz="8" w:color="auto"/>
            </w:tcBorders>
            <w:shd w:val="clear" w:color="auto" w:fill="CCFFEE"/>
          </w:tcPr>
          <w:p>
            <w:pPr>
              <w:jc w:val="center"/>
              <w:spacing w:after="0" w:line="110" w:lineRule="exact"/>
              <w:rPr>
                <w:sz w:val="20"/>
                <w:szCs w:val="20"/>
                <w:color w:val="auto"/>
              </w:rPr>
            </w:pPr>
            <w:r>
              <w:rPr>
                <w:rFonts w:ascii="Times New Roman" w:cs="Times New Roman" w:eastAsia="Times New Roman" w:hAnsi="Times New Roman"/>
                <w:sz w:val="10"/>
                <w:szCs w:val="10"/>
                <w:color w:val="auto"/>
                <w:w w:val="95"/>
              </w:rPr>
              <w:t>Pilgrim’s Pride</w:t>
            </w:r>
          </w:p>
        </w:tc>
        <w:tc>
          <w:tcPr>
            <w:tcW w:w="140" w:type="dxa"/>
            <w:vAlign w:val="bottom"/>
            <w:tcBorders>
              <w:top w:val="single" w:sz="8" w:color="CCFFEE"/>
            </w:tcBorders>
            <w:shd w:val="clear" w:color="auto" w:fill="CCFFEE"/>
          </w:tcPr>
          <w:p>
            <w:pPr>
              <w:spacing w:after="0"/>
              <w:rPr>
                <w:sz w:val="9"/>
                <w:szCs w:val="9"/>
                <w:color w:val="auto"/>
              </w:rPr>
            </w:pPr>
          </w:p>
        </w:tc>
        <w:tc>
          <w:tcPr>
            <w:tcW w:w="3140" w:type="dxa"/>
            <w:vAlign w:val="bottom"/>
            <w:tcBorders>
              <w:top w:val="single" w:sz="8" w:color="auto"/>
            </w:tcBorders>
            <w:shd w:val="clear" w:color="auto" w:fill="CCFFEE"/>
          </w:tcPr>
          <w:p>
            <w:pPr>
              <w:spacing w:after="0" w:line="110" w:lineRule="exact"/>
              <w:rPr>
                <w:sz w:val="20"/>
                <w:szCs w:val="20"/>
                <w:color w:val="auto"/>
              </w:rPr>
            </w:pPr>
            <w:r>
              <w:rPr>
                <w:rFonts w:ascii="Times New Roman" w:cs="Times New Roman" w:eastAsia="Times New Roman" w:hAnsi="Times New Roman"/>
                <w:sz w:val="10"/>
                <w:szCs w:val="10"/>
                <w:color w:val="auto"/>
              </w:rPr>
              <w:t>Ms. Aslam is Founder and has served as Managing Partner at Crescent House</w:t>
            </w:r>
          </w:p>
        </w:tc>
        <w:tc>
          <w:tcPr>
            <w:tcW w:w="140" w:type="dxa"/>
            <w:vAlign w:val="bottom"/>
            <w:tcBorders>
              <w:top w:val="single" w:sz="8" w:color="CCFFEE"/>
            </w:tcBorders>
            <w:shd w:val="clear" w:color="auto" w:fill="CCFFEE"/>
          </w:tcPr>
          <w:p>
            <w:pPr>
              <w:spacing w:after="0"/>
              <w:rPr>
                <w:sz w:val="9"/>
                <w:szCs w:val="9"/>
                <w:color w:val="auto"/>
              </w:rPr>
            </w:pPr>
          </w:p>
        </w:tc>
        <w:tc>
          <w:tcPr>
            <w:tcW w:w="3540" w:type="dxa"/>
            <w:vAlign w:val="bottom"/>
            <w:tcBorders>
              <w:top w:val="single" w:sz="8" w:color="auto"/>
            </w:tcBorders>
            <w:shd w:val="clear" w:color="auto" w:fill="CCFFEE"/>
          </w:tcPr>
          <w:p>
            <w:pPr>
              <w:spacing w:after="0" w:line="110" w:lineRule="exact"/>
              <w:rPr>
                <w:sz w:val="20"/>
                <w:szCs w:val="20"/>
                <w:color w:val="auto"/>
              </w:rPr>
            </w:pPr>
            <w:r>
              <w:rPr>
                <w:rFonts w:ascii="Times New Roman" w:cs="Times New Roman" w:eastAsia="Times New Roman" w:hAnsi="Times New Roman"/>
                <w:sz w:val="10"/>
                <w:szCs w:val="10"/>
                <w:color w:val="auto"/>
                <w:w w:val="98"/>
              </w:rPr>
              <w:t>The Nominating, Corporate Governance and ESG Committee and the Board of Directors</w:t>
            </w:r>
          </w:p>
        </w:tc>
      </w:tr>
      <w:tr>
        <w:trPr>
          <w:trHeight w:val="117"/>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5"/>
              </w:rPr>
              <w:t>Corporation</w:t>
            </w: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7"/>
              </w:rPr>
              <w:t>Capital, an investment and strategic advisory firm, since 2019. Previously, from</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7"/>
              </w:rPr>
              <w:t>believe that Ms. Aslam’s experience as a financial expert and strategic adviser provides an</w:t>
            </w:r>
          </w:p>
        </w:tc>
      </w:tr>
      <w:tr>
        <w:trPr>
          <w:trHeight w:val="123"/>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7"/>
              </w:rPr>
              <w:t>(Nasdaq: PPC)</w:t>
            </w: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2004 to 2018, she was a Managing Director leading Stephens Inc.’s food and</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invaluable asset to the Board of Directors as it evaluates not only Calavo’s present</w:t>
            </w:r>
          </w:p>
        </w:tc>
      </w:tr>
      <w:tr>
        <w:trPr>
          <w:trHeight w:val="120"/>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9"/>
              </w:rPr>
              <w:t>agribusiness equity research team, with prior roles as Vice President at Merrill</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circumstances, but the direction it will head in the future.</w:t>
            </w:r>
          </w:p>
        </w:tc>
      </w:tr>
      <w:tr>
        <w:trPr>
          <w:trHeight w:val="117"/>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2"/>
              </w:rPr>
              <w:t>Green Plains Inc</w:t>
            </w: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Lynch and Risk Management Advisor at UBS.</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123"/>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7"/>
              </w:rPr>
              <w:t>(Nasdaq: GPRE)</w:t>
            </w:r>
          </w:p>
        </w:tc>
        <w:tc>
          <w:tcPr>
            <w:tcW w:w="140" w:type="dxa"/>
            <w:vAlign w:val="bottom"/>
            <w:shd w:val="clear" w:color="auto" w:fill="CCFFEE"/>
          </w:tcPr>
          <w:p>
            <w:pPr>
              <w:spacing w:after="0"/>
              <w:rPr>
                <w:sz w:val="10"/>
                <w:szCs w:val="10"/>
                <w:color w:val="auto"/>
              </w:rPr>
            </w:pPr>
          </w:p>
        </w:tc>
        <w:tc>
          <w:tcPr>
            <w:tcW w:w="314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237"/>
        </w:trPr>
        <w:tc>
          <w:tcPr>
            <w:tcW w:w="940" w:type="dxa"/>
            <w:vAlign w:val="bottom"/>
            <w:shd w:val="clear" w:color="auto" w:fill="CCFFEE"/>
          </w:tcPr>
          <w:p>
            <w:pPr>
              <w:spacing w:after="0"/>
              <w:rPr>
                <w:sz w:val="20"/>
                <w:szCs w:val="20"/>
                <w:color w:val="auto"/>
              </w:rPr>
            </w:pPr>
          </w:p>
        </w:tc>
        <w:tc>
          <w:tcPr>
            <w:tcW w:w="100" w:type="dxa"/>
            <w:vAlign w:val="bottom"/>
            <w:shd w:val="clear" w:color="auto" w:fill="CCFFEE"/>
          </w:tcPr>
          <w:p>
            <w:pPr>
              <w:spacing w:after="0"/>
              <w:rPr>
                <w:sz w:val="20"/>
                <w:szCs w:val="20"/>
                <w:color w:val="auto"/>
              </w:rPr>
            </w:pPr>
          </w:p>
        </w:tc>
        <w:tc>
          <w:tcPr>
            <w:tcW w:w="60" w:type="dxa"/>
            <w:vAlign w:val="bottom"/>
            <w:shd w:val="clear" w:color="auto" w:fill="CCFFEE"/>
          </w:tcPr>
          <w:p>
            <w:pPr>
              <w:spacing w:after="0"/>
              <w:rPr>
                <w:sz w:val="20"/>
                <w:szCs w:val="20"/>
                <w:color w:val="auto"/>
              </w:rPr>
            </w:pPr>
          </w:p>
        </w:tc>
        <w:tc>
          <w:tcPr>
            <w:tcW w:w="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7"/>
              </w:rPr>
              <w:t>AdvanSix Inc</w:t>
            </w:r>
          </w:p>
        </w:tc>
        <w:tc>
          <w:tcPr>
            <w:tcW w:w="140" w:type="dxa"/>
            <w:vAlign w:val="bottom"/>
            <w:shd w:val="clear" w:color="auto" w:fill="CCFFEE"/>
          </w:tcPr>
          <w:p>
            <w:pPr>
              <w:spacing w:after="0"/>
              <w:rPr>
                <w:sz w:val="20"/>
                <w:szCs w:val="20"/>
                <w:color w:val="auto"/>
              </w:rPr>
            </w:pPr>
          </w:p>
        </w:tc>
        <w:tc>
          <w:tcPr>
            <w:tcW w:w="3140" w:type="dxa"/>
            <w:vAlign w:val="bottom"/>
            <w:shd w:val="clear" w:color="auto" w:fill="CCFFEE"/>
          </w:tcPr>
          <w:p>
            <w:pPr>
              <w:spacing w:after="0"/>
              <w:rPr>
                <w:sz w:val="20"/>
                <w:szCs w:val="20"/>
                <w:color w:val="auto"/>
              </w:rPr>
            </w:pPr>
          </w:p>
        </w:tc>
        <w:tc>
          <w:tcPr>
            <w:tcW w:w="140" w:type="dxa"/>
            <w:vAlign w:val="bottom"/>
            <w:shd w:val="clear" w:color="auto" w:fill="CCFFEE"/>
          </w:tcPr>
          <w:p>
            <w:pPr>
              <w:spacing w:after="0"/>
              <w:rPr>
                <w:sz w:val="20"/>
                <w:szCs w:val="20"/>
                <w:color w:val="auto"/>
              </w:rPr>
            </w:pPr>
          </w:p>
        </w:tc>
        <w:tc>
          <w:tcPr>
            <w:tcW w:w="3540" w:type="dxa"/>
            <w:vAlign w:val="bottom"/>
            <w:shd w:val="clear" w:color="auto" w:fill="CCFFEE"/>
          </w:tcPr>
          <w:p>
            <w:pPr>
              <w:spacing w:after="0"/>
              <w:rPr>
                <w:sz w:val="20"/>
                <w:szCs w:val="20"/>
                <w:color w:val="auto"/>
              </w:rPr>
            </w:pPr>
          </w:p>
        </w:tc>
      </w:tr>
      <w:tr>
        <w:trPr>
          <w:trHeight w:val="122"/>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4"/>
              </w:rPr>
              <w:t>(NYSE: ASIX)</w:t>
            </w:r>
          </w:p>
        </w:tc>
        <w:tc>
          <w:tcPr>
            <w:tcW w:w="140" w:type="dxa"/>
            <w:vAlign w:val="bottom"/>
            <w:shd w:val="clear" w:color="auto" w:fill="CCFFEE"/>
          </w:tcPr>
          <w:p>
            <w:pPr>
              <w:spacing w:after="0"/>
              <w:rPr>
                <w:sz w:val="10"/>
                <w:szCs w:val="10"/>
                <w:color w:val="auto"/>
              </w:rPr>
            </w:pPr>
          </w:p>
        </w:tc>
        <w:tc>
          <w:tcPr>
            <w:tcW w:w="314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274"/>
        </w:trPr>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140" w:type="dxa"/>
            <w:vAlign w:val="bottom"/>
            <w:tcBorders>
              <w:bottom w:val="single" w:sz="8" w:color="auto"/>
            </w:tcBorders>
          </w:tcPr>
          <w:p>
            <w:pPr>
              <w:jc w:val="center"/>
              <w:ind w:left="1440"/>
              <w:spacing w:after="0"/>
              <w:rPr>
                <w:sz w:val="20"/>
                <w:szCs w:val="20"/>
                <w:color w:val="auto"/>
              </w:rPr>
            </w:pPr>
            <w:r>
              <w:rPr>
                <w:rFonts w:ascii="Times New Roman" w:cs="Times New Roman" w:eastAsia="Times New Roman" w:hAnsi="Times New Roman"/>
                <w:sz w:val="14"/>
                <w:szCs w:val="14"/>
                <w:b w:val="1"/>
                <w:bCs w:val="1"/>
                <w:i w:val="1"/>
                <w:iCs w:val="1"/>
                <w:color w:val="auto"/>
              </w:rPr>
              <w:t>Marc L. Brown</w:t>
            </w:r>
          </w:p>
        </w:tc>
        <w:tc>
          <w:tcPr>
            <w:tcW w:w="140" w:type="dxa"/>
            <w:vAlign w:val="bottom"/>
            <w:tcBorders>
              <w:bottom w:val="single" w:sz="8" w:color="auto"/>
            </w:tcBorders>
          </w:tcPr>
          <w:p>
            <w:pPr>
              <w:spacing w:after="0"/>
              <w:rPr>
                <w:sz w:val="23"/>
                <w:szCs w:val="23"/>
                <w:color w:val="auto"/>
              </w:rPr>
            </w:pPr>
          </w:p>
        </w:tc>
        <w:tc>
          <w:tcPr>
            <w:tcW w:w="3540" w:type="dxa"/>
            <w:vAlign w:val="bottom"/>
            <w:tcBorders>
              <w:bottom w:val="single" w:sz="8" w:color="auto"/>
            </w:tcBorders>
          </w:tcPr>
          <w:p>
            <w:pPr>
              <w:spacing w:after="0"/>
              <w:rPr>
                <w:sz w:val="23"/>
                <w:szCs w:val="23"/>
                <w:color w:val="auto"/>
              </w:rPr>
            </w:pPr>
          </w:p>
        </w:tc>
      </w:tr>
      <w:tr>
        <w:trPr>
          <w:trHeight w:val="125"/>
        </w:trPr>
        <w:tc>
          <w:tcPr>
            <w:tcW w:w="104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i w:val="1"/>
                <w:iCs w:val="1"/>
                <w:color w:val="auto"/>
              </w:rPr>
              <w:t>Director Since: 2010</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144"/>
        </w:trPr>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71</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161"/>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bl>
    <w:p>
      <w:pPr>
        <w:spacing w:after="0" w:line="101" w:lineRule="exact"/>
        <w:rPr>
          <w:sz w:val="20"/>
          <w:szCs w:val="20"/>
          <w:color w:val="auto"/>
        </w:rPr>
      </w:pPr>
    </w:p>
    <w:p>
      <w:pPr>
        <w:sectPr>
          <w:pgSz w:w="11900" w:h="16838" w:orient="portrait"/>
          <w:cols w:equalWidth="0" w:num="1">
            <w:col w:w="9019"/>
          </w:cols>
          <w:pgMar w:left="1440" w:top="489" w:right="1440" w:bottom="1440" w:gutter="0" w:footer="0" w:header="0"/>
        </w:sectPr>
      </w:pPr>
    </w:p>
    <w:p>
      <w:pPr>
        <w:ind w:left="1100"/>
        <w:spacing w:after="0"/>
        <w:rPr>
          <w:sz w:val="20"/>
          <w:szCs w:val="20"/>
          <w:color w:val="auto"/>
        </w:rPr>
      </w:pPr>
      <w:r>
        <w:rPr>
          <w:rFonts w:ascii="Times New Roman" w:cs="Times New Roman" w:eastAsia="Times New Roman" w:hAnsi="Times New Roman"/>
          <w:sz w:val="8"/>
          <w:szCs w:val="8"/>
          <w:b w:val="1"/>
          <w:bCs w:val="1"/>
          <w:color w:val="auto"/>
        </w:rPr>
        <w:t>Other public company</w:t>
      </w:r>
    </w:p>
    <w:p>
      <w:pPr>
        <w:spacing w:after="0" w:line="33" w:lineRule="exact"/>
        <w:rPr>
          <w:sz w:val="20"/>
          <w:szCs w:val="20"/>
          <w:color w:val="auto"/>
        </w:rPr>
      </w:pPr>
    </w:p>
    <w:p>
      <w:pPr>
        <w:ind w:left="220"/>
        <w:spacing w:after="0"/>
        <w:tabs>
          <w:tab w:leader="none" w:pos="1400" w:val="left"/>
        </w:tabs>
        <w:rPr>
          <w:sz w:val="20"/>
          <w:szCs w:val="20"/>
          <w:color w:val="auto"/>
        </w:rPr>
      </w:pPr>
      <w:r>
        <w:rPr>
          <w:rFonts w:ascii="Times New Roman" w:cs="Times New Roman" w:eastAsia="Times New Roman" w:hAnsi="Times New Roman"/>
          <w:sz w:val="10"/>
          <w:szCs w:val="10"/>
          <w:b w:val="1"/>
          <w:bCs w:val="1"/>
          <w:color w:val="auto"/>
        </w:rPr>
        <w:t>Committees:</w:t>
      </w:r>
      <w:r>
        <w:rPr>
          <w:sz w:val="20"/>
          <w:szCs w:val="20"/>
          <w:color w:val="auto"/>
        </w:rPr>
        <w:tab/>
      </w:r>
      <w:r>
        <w:rPr>
          <w:rFonts w:ascii="Times New Roman" w:cs="Times New Roman" w:eastAsia="Times New Roman" w:hAnsi="Times New Roman"/>
          <w:sz w:val="10"/>
          <w:szCs w:val="10"/>
          <w:b w:val="1"/>
          <w:bCs w:val="1"/>
          <w:color w:val="auto"/>
        </w:rPr>
        <w:t>boards:</w:t>
      </w:r>
    </w:p>
    <w:p>
      <w:pPr>
        <w:spacing w:after="0" w:line="14"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0"/>
          <w:szCs w:val="10"/>
          <w:color w:val="auto"/>
        </w:rPr>
        <w:t>Audit</w:t>
      </w:r>
      <w:r>
        <w:rPr>
          <w:sz w:val="20"/>
          <w:szCs w:val="20"/>
          <w:color w:val="auto"/>
        </w:rPr>
        <w:tab/>
      </w:r>
      <w:r>
        <w:rPr>
          <w:rFonts w:ascii="Times New Roman" w:cs="Times New Roman" w:eastAsia="Times New Roman" w:hAnsi="Times New Roman"/>
          <w:sz w:val="10"/>
          <w:szCs w:val="10"/>
          <w:color w:val="auto"/>
        </w:rPr>
        <w:t>None</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0"/>
          <w:szCs w:val="10"/>
          <w:color w:val="auto"/>
        </w:rPr>
        <w:t>Nom/ESG</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1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Pr>
          <w:p>
            <w:pPr>
              <w:spacing w:after="0"/>
              <w:rPr>
                <w:sz w:val="10"/>
                <w:szCs w:val="10"/>
                <w:color w:val="auto"/>
              </w:rPr>
            </w:pPr>
          </w:p>
        </w:tc>
        <w:tc>
          <w:tcPr>
            <w:tcW w:w="35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20" w:type="dxa"/>
            <w:vAlign w:val="bottom"/>
          </w:tcPr>
          <w:p>
            <w:pPr>
              <w:spacing w:after="0"/>
              <w:rPr>
                <w:sz w:val="8"/>
                <w:szCs w:val="8"/>
                <w:color w:val="auto"/>
              </w:rPr>
            </w:pPr>
          </w:p>
        </w:tc>
        <w:tc>
          <w:tcPr>
            <w:tcW w:w="312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w w:val="95"/>
              </w:rPr>
              <w:t>Mr. Brown was a member of TroyGould PC, a Los Angeles law firm, from 2000</w:t>
            </w:r>
          </w:p>
        </w:tc>
        <w:tc>
          <w:tcPr>
            <w:tcW w:w="140" w:type="dxa"/>
            <w:vAlign w:val="bottom"/>
          </w:tcPr>
          <w:p>
            <w:pPr>
              <w:spacing w:after="0"/>
              <w:rPr>
                <w:sz w:val="8"/>
                <w:szCs w:val="8"/>
                <w:color w:val="auto"/>
              </w:rPr>
            </w:pPr>
          </w:p>
        </w:tc>
        <w:tc>
          <w:tcPr>
            <w:tcW w:w="35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w w:val="98"/>
              </w:rPr>
              <w:t>The Nominating, Corporate Governance and ESG Committee and the Board of Directors</w:t>
            </w:r>
          </w:p>
        </w:tc>
      </w:tr>
      <w:tr>
        <w:trPr>
          <w:trHeight w:val="123"/>
        </w:trPr>
        <w:tc>
          <w:tcPr>
            <w:tcW w:w="3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until his retirement in 2020. Mr. Brown brings to the Board of Directors over</w:t>
            </w:r>
          </w:p>
        </w:tc>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believe that Mr. Brown’s extensive legal experience provides an invaluable asset to the</w:t>
            </w:r>
          </w:p>
        </w:tc>
      </w:tr>
      <w:tr>
        <w:trPr>
          <w:trHeight w:val="120"/>
        </w:trPr>
        <w:tc>
          <w:tcPr>
            <w:tcW w:w="3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forty years of experience counseling numerous public corporations in matters</w:t>
            </w:r>
          </w:p>
        </w:tc>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w w:val="95"/>
              </w:rPr>
              <w:t>Board of Directors as it evaluates not only Calavo’s present circumstances, but the direction</w:t>
            </w:r>
          </w:p>
        </w:tc>
      </w:tr>
      <w:tr>
        <w:trPr>
          <w:trHeight w:val="117"/>
        </w:trPr>
        <w:tc>
          <w:tcPr>
            <w:tcW w:w="314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involving mergers and acquisitions, securities offerings, corporate governance,</w:t>
            </w:r>
          </w:p>
        </w:tc>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it will head in the future.</w:t>
            </w:r>
          </w:p>
        </w:tc>
      </w:tr>
      <w:tr>
        <w:trPr>
          <w:trHeight w:val="123"/>
        </w:trPr>
        <w:tc>
          <w:tcPr>
            <w:tcW w:w="314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executive compensation and compliance with the United States securities laws.</w:t>
            </w: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-382905</wp:posOffset>
            </wp:positionV>
            <wp:extent cx="5697855" cy="731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7855" cy="731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140"/>
            <w:col w:w="6839"/>
          </w:cols>
          <w:pgMar w:left="1440" w:top="4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Michael A. DiGregorio</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70357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i w:val="1"/>
          <w:iCs w:val="1"/>
          <w:color w:val="auto"/>
        </w:rPr>
        <w:t>Age: 68</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570357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940" w:type="dxa"/>
            <w:vAlign w:val="bottom"/>
          </w:tcPr>
          <w:p>
            <w:pPr>
              <w:spacing w:after="0"/>
              <w:rPr>
                <w:sz w:val="10"/>
                <w:szCs w:val="10"/>
                <w:color w:val="auto"/>
              </w:rPr>
            </w:pPr>
          </w:p>
        </w:tc>
        <w:tc>
          <w:tcPr>
            <w:tcW w:w="1080" w:type="dxa"/>
            <w:vAlign w:val="bottom"/>
            <w:gridSpan w:val="2"/>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Other public company</w:t>
            </w: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133"/>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60" w:type="dxa"/>
            <w:vAlign w:val="bottom"/>
            <w:tcBorders>
              <w:bottom w:val="single" w:sz="8" w:color="CCFFEE"/>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boards:</w:t>
            </w:r>
          </w:p>
        </w:tc>
        <w:tc>
          <w:tcPr>
            <w:tcW w:w="140" w:type="dxa"/>
            <w:vAlign w:val="bottom"/>
            <w:tcBorders>
              <w:bottom w:val="single" w:sz="8" w:color="CCFFEE"/>
            </w:tcBorders>
          </w:tcPr>
          <w:p>
            <w:pPr>
              <w:spacing w:after="0"/>
              <w:rPr>
                <w:sz w:val="11"/>
                <w:szCs w:val="11"/>
                <w:color w:val="auto"/>
              </w:rPr>
            </w:pPr>
          </w:p>
        </w:tc>
        <w:tc>
          <w:tcPr>
            <w:tcW w:w="31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Borders>
              <w:bottom w:val="single" w:sz="8" w:color="CCFFEE"/>
            </w:tcBorders>
          </w:tcPr>
          <w:p>
            <w:pPr>
              <w:spacing w:after="0"/>
              <w:rPr>
                <w:sz w:val="11"/>
                <w:szCs w:val="11"/>
                <w:color w:val="auto"/>
              </w:rPr>
            </w:pPr>
          </w:p>
        </w:tc>
        <w:tc>
          <w:tcPr>
            <w:tcW w:w="35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940" w:type="dxa"/>
            <w:vAlign w:val="bottom"/>
            <w:shd w:val="clear" w:color="auto" w:fill="CCFFEE"/>
          </w:tcPr>
          <w:p>
            <w:pPr>
              <w:jc w:val="center"/>
              <w:spacing w:after="0" w:line="101" w:lineRule="exact"/>
              <w:rPr>
                <w:sz w:val="20"/>
                <w:szCs w:val="20"/>
                <w:color w:val="auto"/>
              </w:rPr>
            </w:pPr>
            <w:r>
              <w:rPr>
                <w:rFonts w:ascii="Times New Roman" w:cs="Times New Roman" w:eastAsia="Times New Roman" w:hAnsi="Times New Roman"/>
                <w:sz w:val="10"/>
                <w:szCs w:val="10"/>
                <w:color w:val="auto"/>
                <w:w w:val="96"/>
              </w:rPr>
              <w:t>Audit</w:t>
            </w:r>
          </w:p>
        </w:tc>
        <w:tc>
          <w:tcPr>
            <w:tcW w:w="160" w:type="dxa"/>
            <w:vAlign w:val="bottom"/>
            <w:shd w:val="clear" w:color="auto" w:fill="CCFFEE"/>
          </w:tcPr>
          <w:p>
            <w:pPr>
              <w:spacing w:after="0"/>
              <w:rPr>
                <w:sz w:val="8"/>
                <w:szCs w:val="8"/>
                <w:color w:val="auto"/>
              </w:rPr>
            </w:pPr>
          </w:p>
        </w:tc>
        <w:tc>
          <w:tcPr>
            <w:tcW w:w="920" w:type="dxa"/>
            <w:vAlign w:val="bottom"/>
            <w:shd w:val="clear" w:color="auto" w:fill="CCFFEE"/>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140" w:type="dxa"/>
            <w:vAlign w:val="bottom"/>
            <w:shd w:val="clear" w:color="auto" w:fill="CCFFEE"/>
          </w:tcPr>
          <w:p>
            <w:pPr>
              <w:spacing w:after="0"/>
              <w:rPr>
                <w:sz w:val="8"/>
                <w:szCs w:val="8"/>
                <w:color w:val="auto"/>
              </w:rPr>
            </w:pPr>
          </w:p>
        </w:tc>
        <w:tc>
          <w:tcPr>
            <w:tcW w:w="3140" w:type="dxa"/>
            <w:vAlign w:val="bottom"/>
            <w:shd w:val="clear" w:color="auto" w:fill="CCFFEE"/>
          </w:tcPr>
          <w:p>
            <w:pPr>
              <w:spacing w:after="0" w:line="101" w:lineRule="exact"/>
              <w:rPr>
                <w:sz w:val="20"/>
                <w:szCs w:val="20"/>
                <w:color w:val="auto"/>
              </w:rPr>
            </w:pPr>
            <w:r>
              <w:rPr>
                <w:rFonts w:ascii="Times New Roman" w:cs="Times New Roman" w:eastAsia="Times New Roman" w:hAnsi="Times New Roman"/>
                <w:sz w:val="10"/>
                <w:szCs w:val="10"/>
                <w:color w:val="auto"/>
                <w:w w:val="96"/>
              </w:rPr>
              <w:t>Mr. DiGregorio is a Certified Public Accountant (inactive) who started his career</w:t>
            </w:r>
          </w:p>
        </w:tc>
        <w:tc>
          <w:tcPr>
            <w:tcW w:w="140" w:type="dxa"/>
            <w:vAlign w:val="bottom"/>
            <w:shd w:val="clear" w:color="auto" w:fill="CCFFEE"/>
          </w:tcPr>
          <w:p>
            <w:pPr>
              <w:spacing w:after="0"/>
              <w:rPr>
                <w:sz w:val="8"/>
                <w:szCs w:val="8"/>
                <w:color w:val="auto"/>
              </w:rPr>
            </w:pPr>
          </w:p>
        </w:tc>
        <w:tc>
          <w:tcPr>
            <w:tcW w:w="3540" w:type="dxa"/>
            <w:vAlign w:val="bottom"/>
            <w:shd w:val="clear" w:color="auto" w:fill="CCFFEE"/>
          </w:tcPr>
          <w:p>
            <w:pPr>
              <w:spacing w:after="0" w:line="101" w:lineRule="exact"/>
              <w:rPr>
                <w:sz w:val="20"/>
                <w:szCs w:val="20"/>
                <w:color w:val="auto"/>
              </w:rPr>
            </w:pPr>
            <w:r>
              <w:rPr>
                <w:rFonts w:ascii="Times New Roman" w:cs="Times New Roman" w:eastAsia="Times New Roman" w:hAnsi="Times New Roman"/>
                <w:sz w:val="10"/>
                <w:szCs w:val="10"/>
                <w:color w:val="auto"/>
                <w:w w:val="98"/>
              </w:rPr>
              <w:t>The Nominating, Corporate Governance and ESG Committee and the Board of Directors</w:t>
            </w:r>
          </w:p>
        </w:tc>
      </w:tr>
      <w:tr>
        <w:trPr>
          <w:trHeight w:val="117"/>
        </w:trPr>
        <w:tc>
          <w:tcPr>
            <w:tcW w:w="9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6"/>
              </w:rPr>
              <w:t>(Chair)</w:t>
            </w: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6"/>
              </w:rPr>
              <w:t>at Deloitte. He has been Chief Financial Officer of public and private companies,</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8"/>
              </w:rPr>
              <w:t>believe that Mr. DiGregorio’s financial and leadership experience provides an invaluable</w:t>
            </w:r>
          </w:p>
        </w:tc>
      </w:tr>
      <w:tr>
        <w:trPr>
          <w:trHeight w:val="123"/>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including Korn Ferry, St. John Knits, Jafra Cosmetics, The Wackenhut</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7"/>
              </w:rPr>
              <w:t>asset to the Board of Directors as it evaluates not only Calavo’s present circumstances, but</w:t>
            </w:r>
          </w:p>
        </w:tc>
      </w:tr>
      <w:tr>
        <w:trPr>
          <w:trHeight w:val="120"/>
        </w:trPr>
        <w:tc>
          <w:tcPr>
            <w:tcW w:w="9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4"/>
              </w:rPr>
              <w:t>Executive</w:t>
            </w: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7"/>
              </w:rPr>
              <w:t>Corporation, Atlantis Plastics and Gillette Iberia. He also served as President of</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the direction it will head in the future.</w:t>
            </w:r>
          </w:p>
        </w:tc>
      </w:tr>
      <w:tr>
        <w:trPr>
          <w:trHeight w:val="117"/>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8"/>
              </w:rPr>
              <w:t>Jafra Cosmetics USA. He retired from Korn Ferry in 2012. Mr. DiGregorio has</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123"/>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been on seven different boards in the past nine years.</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431"/>
        </w:trPr>
        <w:tc>
          <w:tcPr>
            <w:tcW w:w="940" w:type="dxa"/>
            <w:vAlign w:val="bottom"/>
            <w:shd w:val="clear" w:color="auto" w:fill="CCFFEE"/>
          </w:tcPr>
          <w:p>
            <w:pPr>
              <w:spacing w:after="0"/>
              <w:rPr>
                <w:sz w:val="24"/>
                <w:szCs w:val="24"/>
                <w:color w:val="auto"/>
              </w:rPr>
            </w:pPr>
          </w:p>
        </w:tc>
        <w:tc>
          <w:tcPr>
            <w:tcW w:w="160" w:type="dxa"/>
            <w:vAlign w:val="bottom"/>
            <w:shd w:val="clear" w:color="auto" w:fill="CCFFEE"/>
          </w:tcPr>
          <w:p>
            <w:pPr>
              <w:spacing w:after="0"/>
              <w:rPr>
                <w:sz w:val="24"/>
                <w:szCs w:val="24"/>
                <w:color w:val="auto"/>
              </w:rPr>
            </w:pPr>
          </w:p>
        </w:tc>
        <w:tc>
          <w:tcPr>
            <w:tcW w:w="92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314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3540" w:type="dxa"/>
            <w:vAlign w:val="bottom"/>
            <w:shd w:val="clear" w:color="auto" w:fill="CCFFEE"/>
          </w:tcPr>
          <w:p>
            <w:pPr>
              <w:spacing w:after="0"/>
              <w:rPr>
                <w:sz w:val="24"/>
                <w:szCs w:val="24"/>
                <w:color w:val="auto"/>
              </w:rPr>
            </w:pPr>
          </w:p>
        </w:tc>
      </w:tr>
    </w:tbl>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Adriana Mendizabal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70357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i w:val="1"/>
          <w:iCs w:val="1"/>
          <w:color w:val="auto"/>
        </w:rPr>
        <w:t>Age: 58</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57035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940" w:type="dxa"/>
            <w:vAlign w:val="bottom"/>
          </w:tcPr>
          <w:p>
            <w:pPr>
              <w:spacing w:after="0"/>
              <w:rPr>
                <w:sz w:val="10"/>
                <w:szCs w:val="10"/>
                <w:color w:val="auto"/>
              </w:rPr>
            </w:pPr>
          </w:p>
        </w:tc>
        <w:tc>
          <w:tcPr>
            <w:tcW w:w="1080" w:type="dxa"/>
            <w:vAlign w:val="bottom"/>
            <w:gridSpan w:val="2"/>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Other public company</w:t>
            </w: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125"/>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60" w:type="dxa"/>
            <w:vAlign w:val="bottom"/>
            <w:tcBorders>
              <w:bottom w:val="single" w:sz="8" w:color="CCFFEE"/>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boards:</w:t>
            </w:r>
          </w:p>
        </w:tc>
        <w:tc>
          <w:tcPr>
            <w:tcW w:w="140" w:type="dxa"/>
            <w:vAlign w:val="bottom"/>
            <w:tcBorders>
              <w:bottom w:val="single" w:sz="8" w:color="CCFFEE"/>
            </w:tcBorders>
          </w:tcPr>
          <w:p>
            <w:pPr>
              <w:spacing w:after="0"/>
              <w:rPr>
                <w:sz w:val="10"/>
                <w:szCs w:val="10"/>
                <w:color w:val="auto"/>
              </w:rPr>
            </w:pPr>
          </w:p>
        </w:tc>
        <w:tc>
          <w:tcPr>
            <w:tcW w:w="31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Borders>
              <w:bottom w:val="single" w:sz="8" w:color="CCFFEE"/>
            </w:tcBorders>
          </w:tcPr>
          <w:p>
            <w:pPr>
              <w:spacing w:after="0"/>
              <w:rPr>
                <w:sz w:val="10"/>
                <w:szCs w:val="10"/>
                <w:color w:val="auto"/>
              </w:rPr>
            </w:pPr>
          </w:p>
        </w:tc>
        <w:tc>
          <w:tcPr>
            <w:tcW w:w="35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10"/>
        </w:trPr>
        <w:tc>
          <w:tcPr>
            <w:tcW w:w="940" w:type="dxa"/>
            <w:vAlign w:val="bottom"/>
            <w:shd w:val="clear" w:color="auto" w:fill="CCFFEE"/>
          </w:tcPr>
          <w:p>
            <w:pPr>
              <w:jc w:val="center"/>
              <w:spacing w:after="0" w:line="110" w:lineRule="exact"/>
              <w:rPr>
                <w:sz w:val="20"/>
                <w:szCs w:val="20"/>
                <w:color w:val="auto"/>
              </w:rPr>
            </w:pPr>
            <w:r>
              <w:rPr>
                <w:rFonts w:ascii="Times New Roman" w:cs="Times New Roman" w:eastAsia="Times New Roman" w:hAnsi="Times New Roman"/>
                <w:sz w:val="10"/>
                <w:szCs w:val="10"/>
                <w:color w:val="auto"/>
                <w:w w:val="95"/>
              </w:rPr>
              <w:t>Nom/ESG</w:t>
            </w:r>
          </w:p>
        </w:tc>
        <w:tc>
          <w:tcPr>
            <w:tcW w:w="160" w:type="dxa"/>
            <w:vAlign w:val="bottom"/>
            <w:shd w:val="clear" w:color="auto" w:fill="CCFFEE"/>
          </w:tcPr>
          <w:p>
            <w:pPr>
              <w:spacing w:after="0"/>
              <w:rPr>
                <w:sz w:val="9"/>
                <w:szCs w:val="9"/>
                <w:color w:val="auto"/>
              </w:rPr>
            </w:pPr>
          </w:p>
        </w:tc>
        <w:tc>
          <w:tcPr>
            <w:tcW w:w="920" w:type="dxa"/>
            <w:vAlign w:val="bottom"/>
            <w:shd w:val="clear" w:color="auto" w:fill="CCFFEE"/>
          </w:tcPr>
          <w:p>
            <w:pPr>
              <w:jc w:val="center"/>
              <w:spacing w:after="0" w:line="110" w:lineRule="exact"/>
              <w:rPr>
                <w:sz w:val="20"/>
                <w:szCs w:val="20"/>
                <w:color w:val="auto"/>
              </w:rPr>
            </w:pPr>
            <w:r>
              <w:rPr>
                <w:rFonts w:ascii="Times New Roman" w:cs="Times New Roman" w:eastAsia="Times New Roman" w:hAnsi="Times New Roman"/>
                <w:sz w:val="10"/>
                <w:szCs w:val="10"/>
                <w:color w:val="auto"/>
              </w:rPr>
              <w:t>None</w:t>
            </w:r>
          </w:p>
        </w:tc>
        <w:tc>
          <w:tcPr>
            <w:tcW w:w="140" w:type="dxa"/>
            <w:vAlign w:val="bottom"/>
            <w:shd w:val="clear" w:color="auto" w:fill="CCFFEE"/>
          </w:tcPr>
          <w:p>
            <w:pPr>
              <w:spacing w:after="0"/>
              <w:rPr>
                <w:sz w:val="9"/>
                <w:szCs w:val="9"/>
                <w:color w:val="auto"/>
              </w:rPr>
            </w:pPr>
          </w:p>
        </w:tc>
        <w:tc>
          <w:tcPr>
            <w:tcW w:w="3140" w:type="dxa"/>
            <w:vAlign w:val="bottom"/>
            <w:shd w:val="clear" w:color="auto" w:fill="CCFFEE"/>
          </w:tcPr>
          <w:p>
            <w:pPr>
              <w:spacing w:after="0" w:line="110" w:lineRule="exact"/>
              <w:rPr>
                <w:sz w:val="20"/>
                <w:szCs w:val="20"/>
                <w:color w:val="auto"/>
              </w:rPr>
            </w:pPr>
            <w:r>
              <w:rPr>
                <w:rFonts w:ascii="Times New Roman" w:cs="Times New Roman" w:eastAsia="Times New Roman" w:hAnsi="Times New Roman"/>
                <w:sz w:val="10"/>
                <w:szCs w:val="10"/>
                <w:color w:val="auto"/>
                <w:w w:val="95"/>
              </w:rPr>
              <w:t>Ms. Mendizabal is Group President for Stanley Black &amp; Decker Latin America, a</w:t>
            </w:r>
          </w:p>
        </w:tc>
        <w:tc>
          <w:tcPr>
            <w:tcW w:w="140" w:type="dxa"/>
            <w:vAlign w:val="bottom"/>
            <w:shd w:val="clear" w:color="auto" w:fill="CCFFEE"/>
          </w:tcPr>
          <w:p>
            <w:pPr>
              <w:spacing w:after="0"/>
              <w:rPr>
                <w:sz w:val="9"/>
                <w:szCs w:val="9"/>
                <w:color w:val="auto"/>
              </w:rPr>
            </w:pPr>
          </w:p>
        </w:tc>
        <w:tc>
          <w:tcPr>
            <w:tcW w:w="3540" w:type="dxa"/>
            <w:vAlign w:val="bottom"/>
            <w:shd w:val="clear" w:color="auto" w:fill="CCFFEE"/>
          </w:tcPr>
          <w:p>
            <w:pPr>
              <w:spacing w:after="0" w:line="110" w:lineRule="exact"/>
              <w:rPr>
                <w:sz w:val="20"/>
                <w:szCs w:val="20"/>
                <w:color w:val="auto"/>
              </w:rPr>
            </w:pPr>
            <w:r>
              <w:rPr>
                <w:rFonts w:ascii="Times New Roman" w:cs="Times New Roman" w:eastAsia="Times New Roman" w:hAnsi="Times New Roman"/>
                <w:sz w:val="10"/>
                <w:szCs w:val="10"/>
                <w:color w:val="auto"/>
                <w:w w:val="98"/>
              </w:rPr>
              <w:t>The Nominating, Corporate Governance and ESG Committee and the Board of Directors</w:t>
            </w:r>
          </w:p>
        </w:tc>
      </w:tr>
      <w:tr>
        <w:trPr>
          <w:trHeight w:val="117"/>
        </w:trPr>
        <w:tc>
          <w:tcPr>
            <w:tcW w:w="9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6"/>
              </w:rPr>
              <w:t>(Chair)</w:t>
            </w: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diversified global provider of hand tools, power tools, and other products and</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9"/>
              </w:rPr>
              <w:t>believe that Ms. Mendizabal’s track record as a leader who drives shareholder value and</w:t>
            </w:r>
          </w:p>
        </w:tc>
      </w:tr>
      <w:tr>
        <w:trPr>
          <w:trHeight w:val="117"/>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services, a role she has held since 2019. Prior to her current position, Ms.</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her international experience makes her an integral member of our board and a valued</w:t>
            </w:r>
          </w:p>
        </w:tc>
      </w:tr>
      <w:tr>
        <w:trPr>
          <w:trHeight w:val="123"/>
        </w:trPr>
        <w:tc>
          <w:tcPr>
            <w:tcW w:w="9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6"/>
              </w:rPr>
              <w:t>Audit</w:t>
            </w: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7"/>
              </w:rPr>
              <w:t>Mendizabal was with Nature’s Sunshine Products, a manufacturer and marketer</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advisor to our leadership team.</w:t>
            </w:r>
          </w:p>
        </w:tc>
      </w:tr>
      <w:tr>
        <w:trPr>
          <w:trHeight w:val="120"/>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6"/>
              </w:rPr>
              <w:t>of dietary supplements and personal care products, from 2012 to 2019 where she</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117"/>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6"/>
              </w:rPr>
              <w:t>was Business Unit President and Global Chief Marketing &amp; Innovations Officer.</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123"/>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7"/>
              </w:rPr>
              <w:t>Prior to that she held roles at Visa USA, Herbalife, Johnson &amp; Johnson, Kodak,</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126"/>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PepsiCo-Mexico and Procter &amp; Gamble.</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233"/>
        </w:trPr>
        <w:tc>
          <w:tcPr>
            <w:tcW w:w="940" w:type="dxa"/>
            <w:vAlign w:val="bottom"/>
            <w:shd w:val="clear" w:color="auto" w:fill="CCFFEE"/>
          </w:tcPr>
          <w:p>
            <w:pPr>
              <w:spacing w:after="0"/>
              <w:rPr>
                <w:sz w:val="20"/>
                <w:szCs w:val="20"/>
                <w:color w:val="auto"/>
              </w:rPr>
            </w:pPr>
          </w:p>
        </w:tc>
        <w:tc>
          <w:tcPr>
            <w:tcW w:w="160" w:type="dxa"/>
            <w:vAlign w:val="bottom"/>
            <w:shd w:val="clear" w:color="auto" w:fill="CCFFEE"/>
          </w:tcPr>
          <w:p>
            <w:pPr>
              <w:spacing w:after="0"/>
              <w:rPr>
                <w:sz w:val="20"/>
                <w:szCs w:val="20"/>
                <w:color w:val="auto"/>
              </w:rPr>
            </w:pPr>
          </w:p>
        </w:tc>
        <w:tc>
          <w:tcPr>
            <w:tcW w:w="920" w:type="dxa"/>
            <w:vAlign w:val="bottom"/>
            <w:shd w:val="clear" w:color="auto" w:fill="CCFFEE"/>
          </w:tcPr>
          <w:p>
            <w:pPr>
              <w:spacing w:after="0"/>
              <w:rPr>
                <w:sz w:val="20"/>
                <w:szCs w:val="20"/>
                <w:color w:val="auto"/>
              </w:rPr>
            </w:pPr>
          </w:p>
        </w:tc>
        <w:tc>
          <w:tcPr>
            <w:tcW w:w="140" w:type="dxa"/>
            <w:vAlign w:val="bottom"/>
            <w:shd w:val="clear" w:color="auto" w:fill="CCFFEE"/>
          </w:tcPr>
          <w:p>
            <w:pPr>
              <w:spacing w:after="0"/>
              <w:rPr>
                <w:sz w:val="20"/>
                <w:szCs w:val="20"/>
                <w:color w:val="auto"/>
              </w:rPr>
            </w:pPr>
          </w:p>
        </w:tc>
        <w:tc>
          <w:tcPr>
            <w:tcW w:w="3140" w:type="dxa"/>
            <w:vAlign w:val="bottom"/>
            <w:shd w:val="clear" w:color="auto" w:fill="CCFFEE"/>
          </w:tcPr>
          <w:p>
            <w:pPr>
              <w:spacing w:after="0"/>
              <w:rPr>
                <w:sz w:val="20"/>
                <w:szCs w:val="20"/>
                <w:color w:val="auto"/>
              </w:rPr>
            </w:pPr>
          </w:p>
        </w:tc>
        <w:tc>
          <w:tcPr>
            <w:tcW w:w="140" w:type="dxa"/>
            <w:vAlign w:val="bottom"/>
            <w:shd w:val="clear" w:color="auto" w:fill="CCFFEE"/>
          </w:tcPr>
          <w:p>
            <w:pPr>
              <w:spacing w:after="0"/>
              <w:rPr>
                <w:sz w:val="20"/>
                <w:szCs w:val="20"/>
                <w:color w:val="auto"/>
              </w:rPr>
            </w:pPr>
          </w:p>
        </w:tc>
        <w:tc>
          <w:tcPr>
            <w:tcW w:w="3540" w:type="dxa"/>
            <w:vAlign w:val="bottom"/>
            <w:shd w:val="clear" w:color="auto" w:fill="CCFFEE"/>
          </w:tcPr>
          <w:p>
            <w:pPr>
              <w:spacing w:after="0"/>
              <w:rPr>
                <w:sz w:val="20"/>
                <w:szCs w:val="20"/>
                <w:color w:val="auto"/>
              </w:rPr>
            </w:pPr>
          </w:p>
        </w:tc>
      </w:tr>
    </w:tbl>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i w:val="1"/>
                <w:iCs w:val="1"/>
                <w:color w:val="auto"/>
              </w:rPr>
              <w:t>James Helin</w:t>
            </w: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r>
      <w:tr>
        <w:trPr>
          <w:trHeight w:val="120"/>
        </w:trPr>
        <w:tc>
          <w:tcPr>
            <w:tcW w:w="10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i w:val="1"/>
                <w:iCs w:val="1"/>
                <w:color w:val="auto"/>
              </w:rPr>
              <w:t>Director Since: 2011</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144"/>
        </w:trPr>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80</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166"/>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Other public company</w:t>
            </w:r>
          </w:p>
        </w:tc>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33"/>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6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boards:</w:t>
            </w:r>
          </w:p>
        </w:tc>
        <w:tc>
          <w:tcPr>
            <w:tcW w:w="140" w:type="dxa"/>
            <w:vAlign w:val="bottom"/>
          </w:tcPr>
          <w:p>
            <w:pPr>
              <w:spacing w:after="0"/>
              <w:rPr>
                <w:sz w:val="11"/>
                <w:szCs w:val="11"/>
                <w:color w:val="auto"/>
              </w:rPr>
            </w:pPr>
          </w:p>
        </w:tc>
        <w:tc>
          <w:tcPr>
            <w:tcW w:w="3140" w:type="dxa"/>
            <w:vAlign w:val="bottom"/>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Pr>
          <w:p>
            <w:pPr>
              <w:spacing w:after="0"/>
              <w:rPr>
                <w:sz w:val="11"/>
                <w:szCs w:val="11"/>
                <w:color w:val="auto"/>
              </w:rPr>
            </w:pPr>
          </w:p>
        </w:tc>
        <w:tc>
          <w:tcPr>
            <w:tcW w:w="3540" w:type="dxa"/>
            <w:vAlign w:val="bottom"/>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940" w:type="dxa"/>
            <w:vAlign w:val="bottom"/>
            <w:tcBorders>
              <w:top w:val="single" w:sz="8" w:color="auto"/>
            </w:tcBorders>
            <w:shd w:val="clear" w:color="auto" w:fill="CCFFEE"/>
          </w:tcPr>
          <w:p>
            <w:pPr>
              <w:jc w:val="center"/>
              <w:spacing w:after="0" w:line="101" w:lineRule="exact"/>
              <w:rPr>
                <w:sz w:val="20"/>
                <w:szCs w:val="20"/>
                <w:color w:val="auto"/>
              </w:rPr>
            </w:pPr>
            <w:r>
              <w:rPr>
                <w:rFonts w:ascii="Times New Roman" w:cs="Times New Roman" w:eastAsia="Times New Roman" w:hAnsi="Times New Roman"/>
                <w:sz w:val="10"/>
                <w:szCs w:val="10"/>
                <w:color w:val="auto"/>
                <w:w w:val="96"/>
              </w:rPr>
              <w:t>Compensation</w:t>
            </w:r>
          </w:p>
        </w:tc>
        <w:tc>
          <w:tcPr>
            <w:tcW w:w="100" w:type="dxa"/>
            <w:vAlign w:val="bottom"/>
            <w:tcBorders>
              <w:top w:val="single" w:sz="8" w:color="CCFFEE"/>
            </w:tcBorders>
            <w:shd w:val="clear" w:color="auto" w:fill="CCFFEE"/>
          </w:tcPr>
          <w:p>
            <w:pPr>
              <w:spacing w:after="0"/>
              <w:rPr>
                <w:sz w:val="8"/>
                <w:szCs w:val="8"/>
                <w:color w:val="auto"/>
              </w:rPr>
            </w:pPr>
          </w:p>
        </w:tc>
        <w:tc>
          <w:tcPr>
            <w:tcW w:w="60" w:type="dxa"/>
            <w:vAlign w:val="bottom"/>
            <w:tcBorders>
              <w:top w:val="single" w:sz="8" w:color="CCFFEE"/>
            </w:tcBorders>
            <w:shd w:val="clear" w:color="auto" w:fill="CCFFEE"/>
          </w:tcPr>
          <w:p>
            <w:pPr>
              <w:spacing w:after="0"/>
              <w:rPr>
                <w:sz w:val="8"/>
                <w:szCs w:val="8"/>
                <w:color w:val="auto"/>
              </w:rPr>
            </w:pPr>
          </w:p>
        </w:tc>
        <w:tc>
          <w:tcPr>
            <w:tcW w:w="920" w:type="dxa"/>
            <w:vAlign w:val="bottom"/>
            <w:tcBorders>
              <w:top w:val="single" w:sz="8" w:color="auto"/>
            </w:tcBorders>
            <w:shd w:val="clear" w:color="auto" w:fill="CCFFEE"/>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140" w:type="dxa"/>
            <w:vAlign w:val="bottom"/>
            <w:tcBorders>
              <w:top w:val="single" w:sz="8" w:color="CCFFEE"/>
            </w:tcBorders>
            <w:shd w:val="clear" w:color="auto" w:fill="CCFFEE"/>
          </w:tcPr>
          <w:p>
            <w:pPr>
              <w:spacing w:after="0"/>
              <w:rPr>
                <w:sz w:val="8"/>
                <w:szCs w:val="8"/>
                <w:color w:val="auto"/>
              </w:rPr>
            </w:pPr>
          </w:p>
        </w:tc>
        <w:tc>
          <w:tcPr>
            <w:tcW w:w="3140" w:type="dxa"/>
            <w:vAlign w:val="bottom"/>
            <w:tcBorders>
              <w:top w:val="single" w:sz="8" w:color="auto"/>
            </w:tcBorders>
            <w:shd w:val="clear" w:color="auto" w:fill="CCFFEE"/>
          </w:tcPr>
          <w:p>
            <w:pPr>
              <w:spacing w:after="0" w:line="101" w:lineRule="exact"/>
              <w:rPr>
                <w:sz w:val="20"/>
                <w:szCs w:val="20"/>
                <w:color w:val="auto"/>
              </w:rPr>
            </w:pPr>
            <w:r>
              <w:rPr>
                <w:rFonts w:ascii="Times New Roman" w:cs="Times New Roman" w:eastAsia="Times New Roman" w:hAnsi="Times New Roman"/>
                <w:sz w:val="10"/>
                <w:szCs w:val="10"/>
                <w:color w:val="auto"/>
                <w:w w:val="97"/>
              </w:rPr>
              <w:t>Mr. Helin has been Principal at JDH Associates, a management consulting firm,</w:t>
            </w:r>
          </w:p>
        </w:tc>
        <w:tc>
          <w:tcPr>
            <w:tcW w:w="140" w:type="dxa"/>
            <w:vAlign w:val="bottom"/>
            <w:tcBorders>
              <w:top w:val="single" w:sz="8" w:color="CCFFEE"/>
            </w:tcBorders>
            <w:shd w:val="clear" w:color="auto" w:fill="CCFFEE"/>
          </w:tcPr>
          <w:p>
            <w:pPr>
              <w:spacing w:after="0"/>
              <w:rPr>
                <w:sz w:val="8"/>
                <w:szCs w:val="8"/>
                <w:color w:val="auto"/>
              </w:rPr>
            </w:pPr>
          </w:p>
        </w:tc>
        <w:tc>
          <w:tcPr>
            <w:tcW w:w="3540" w:type="dxa"/>
            <w:vAlign w:val="bottom"/>
            <w:tcBorders>
              <w:top w:val="single" w:sz="8" w:color="auto"/>
            </w:tcBorders>
            <w:shd w:val="clear" w:color="auto" w:fill="CCFFEE"/>
          </w:tcPr>
          <w:p>
            <w:pPr>
              <w:spacing w:after="0" w:line="101" w:lineRule="exact"/>
              <w:rPr>
                <w:sz w:val="20"/>
                <w:szCs w:val="20"/>
                <w:color w:val="auto"/>
              </w:rPr>
            </w:pPr>
            <w:r>
              <w:rPr>
                <w:rFonts w:ascii="Times New Roman" w:cs="Times New Roman" w:eastAsia="Times New Roman" w:hAnsi="Times New Roman"/>
                <w:sz w:val="10"/>
                <w:szCs w:val="10"/>
                <w:color w:val="auto"/>
                <w:w w:val="98"/>
              </w:rPr>
              <w:t>The Nominating, Corporate Governance and ESG Committee and the Board of Directors</w:t>
            </w:r>
          </w:p>
        </w:tc>
      </w:tr>
      <w:tr>
        <w:trPr>
          <w:trHeight w:val="117"/>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9"/>
              </w:rPr>
              <w:t>since 2002. Previously he was the President of Paramount Farms; Senior Vice</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believe that Mr. Helin’s consumer marketing and extensive leadership experience is an</w:t>
            </w:r>
          </w:p>
        </w:tc>
      </w:tr>
      <w:tr>
        <w:trPr>
          <w:trHeight w:val="123"/>
        </w:trPr>
        <w:tc>
          <w:tcPr>
            <w:tcW w:w="1040" w:type="dxa"/>
            <w:vAlign w:val="bottom"/>
            <w:gridSpan w:val="2"/>
            <w:shd w:val="clear" w:color="auto" w:fill="CCFFEE"/>
          </w:tcPr>
          <w:p>
            <w:pPr>
              <w:jc w:val="center"/>
              <w:ind w:right="120"/>
              <w:spacing w:after="0"/>
              <w:rPr>
                <w:sz w:val="20"/>
                <w:szCs w:val="20"/>
                <w:color w:val="auto"/>
              </w:rPr>
            </w:pPr>
            <w:r>
              <w:rPr>
                <w:rFonts w:ascii="Times New Roman" w:cs="Times New Roman" w:eastAsia="Times New Roman" w:hAnsi="Times New Roman"/>
                <w:sz w:val="10"/>
                <w:szCs w:val="10"/>
                <w:color w:val="auto"/>
                <w:w w:val="95"/>
              </w:rPr>
              <w:t>Nom/ESG</w:t>
            </w: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8"/>
              </w:rPr>
              <w:t>President and Chief Marketing Officer for the Los Angeles Times; President of</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invaluable asset to the Board of Directors as it evaluates not only Calavo’s present</w:t>
            </w:r>
          </w:p>
        </w:tc>
      </w:tr>
      <w:tr>
        <w:trPr>
          <w:trHeight w:val="120"/>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7"/>
              </w:rPr>
              <w:t>DMB&amp;B a consumer advertising agency; Executive Vice President at Dailey &amp;</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circumstances, but the direction it will head in the future.</w:t>
            </w:r>
          </w:p>
        </w:tc>
      </w:tr>
      <w:tr>
        <w:trPr>
          <w:trHeight w:val="123"/>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Associates; and Senior Vice President at DDB.</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305"/>
        </w:trPr>
        <w:tc>
          <w:tcPr>
            <w:tcW w:w="940" w:type="dxa"/>
            <w:vAlign w:val="bottom"/>
            <w:shd w:val="clear" w:color="auto" w:fill="CCFFEE"/>
          </w:tcPr>
          <w:p>
            <w:pPr>
              <w:spacing w:after="0"/>
              <w:rPr>
                <w:sz w:val="24"/>
                <w:szCs w:val="24"/>
                <w:color w:val="auto"/>
              </w:rPr>
            </w:pPr>
          </w:p>
        </w:tc>
        <w:tc>
          <w:tcPr>
            <w:tcW w:w="100" w:type="dxa"/>
            <w:vAlign w:val="bottom"/>
            <w:shd w:val="clear" w:color="auto" w:fill="CCFFEE"/>
          </w:tcPr>
          <w:p>
            <w:pPr>
              <w:spacing w:after="0"/>
              <w:rPr>
                <w:sz w:val="24"/>
                <w:szCs w:val="24"/>
                <w:color w:val="auto"/>
              </w:rPr>
            </w:pPr>
          </w:p>
        </w:tc>
        <w:tc>
          <w:tcPr>
            <w:tcW w:w="60" w:type="dxa"/>
            <w:vAlign w:val="bottom"/>
            <w:shd w:val="clear" w:color="auto" w:fill="CCFFEE"/>
          </w:tcPr>
          <w:p>
            <w:pPr>
              <w:spacing w:after="0"/>
              <w:rPr>
                <w:sz w:val="24"/>
                <w:szCs w:val="24"/>
                <w:color w:val="auto"/>
              </w:rPr>
            </w:pPr>
          </w:p>
        </w:tc>
        <w:tc>
          <w:tcPr>
            <w:tcW w:w="92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314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3540" w:type="dxa"/>
            <w:vAlign w:val="bottom"/>
            <w:shd w:val="clear" w:color="auto" w:fill="CCFFEE"/>
          </w:tcPr>
          <w:p>
            <w:pPr>
              <w:spacing w:after="0"/>
              <w:rPr>
                <w:sz w:val="24"/>
                <w:szCs w:val="24"/>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i w:val="1"/>
                <w:iCs w:val="1"/>
                <w:color w:val="auto"/>
              </w:rPr>
              <w:t>Steven Hollister</w:t>
            </w: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r>
      <w:tr>
        <w:trPr>
          <w:trHeight w:val="121"/>
        </w:trPr>
        <w:tc>
          <w:tcPr>
            <w:tcW w:w="10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Director Since: 2008</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144"/>
        </w:trPr>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65</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166"/>
        </w:trPr>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i w:val="1"/>
                <w:iCs w:val="1"/>
                <w:color w:val="auto"/>
              </w:rPr>
              <w:t>Independent/Chairman</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Other public company</w:t>
            </w:r>
          </w:p>
        </w:tc>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33"/>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6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boards:</w:t>
            </w:r>
          </w:p>
        </w:tc>
        <w:tc>
          <w:tcPr>
            <w:tcW w:w="140" w:type="dxa"/>
            <w:vAlign w:val="bottom"/>
          </w:tcPr>
          <w:p>
            <w:pPr>
              <w:spacing w:after="0"/>
              <w:rPr>
                <w:sz w:val="11"/>
                <w:szCs w:val="11"/>
                <w:color w:val="auto"/>
              </w:rPr>
            </w:pPr>
          </w:p>
        </w:tc>
        <w:tc>
          <w:tcPr>
            <w:tcW w:w="3140" w:type="dxa"/>
            <w:vAlign w:val="bottom"/>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Pr>
          <w:p>
            <w:pPr>
              <w:spacing w:after="0"/>
              <w:rPr>
                <w:sz w:val="11"/>
                <w:szCs w:val="11"/>
                <w:color w:val="auto"/>
              </w:rPr>
            </w:pPr>
          </w:p>
        </w:tc>
        <w:tc>
          <w:tcPr>
            <w:tcW w:w="3540" w:type="dxa"/>
            <w:vAlign w:val="bottom"/>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940" w:type="dxa"/>
            <w:vAlign w:val="bottom"/>
            <w:tcBorders>
              <w:top w:val="single" w:sz="8" w:color="auto"/>
            </w:tcBorders>
            <w:shd w:val="clear" w:color="auto" w:fill="CCFFEE"/>
          </w:tcPr>
          <w:p>
            <w:pPr>
              <w:jc w:val="center"/>
              <w:spacing w:after="0" w:line="101" w:lineRule="exact"/>
              <w:rPr>
                <w:sz w:val="20"/>
                <w:szCs w:val="20"/>
                <w:color w:val="auto"/>
              </w:rPr>
            </w:pPr>
            <w:r>
              <w:rPr>
                <w:rFonts w:ascii="Times New Roman" w:cs="Times New Roman" w:eastAsia="Times New Roman" w:hAnsi="Times New Roman"/>
                <w:sz w:val="10"/>
                <w:szCs w:val="10"/>
                <w:color w:val="auto"/>
                <w:w w:val="94"/>
              </w:rPr>
              <w:t>Executive</w:t>
            </w:r>
          </w:p>
        </w:tc>
        <w:tc>
          <w:tcPr>
            <w:tcW w:w="100" w:type="dxa"/>
            <w:vAlign w:val="bottom"/>
            <w:tcBorders>
              <w:top w:val="single" w:sz="8" w:color="CCFFEE"/>
            </w:tcBorders>
            <w:shd w:val="clear" w:color="auto" w:fill="CCFFEE"/>
          </w:tcPr>
          <w:p>
            <w:pPr>
              <w:spacing w:after="0"/>
              <w:rPr>
                <w:sz w:val="8"/>
                <w:szCs w:val="8"/>
                <w:color w:val="auto"/>
              </w:rPr>
            </w:pPr>
          </w:p>
        </w:tc>
        <w:tc>
          <w:tcPr>
            <w:tcW w:w="60" w:type="dxa"/>
            <w:vAlign w:val="bottom"/>
            <w:tcBorders>
              <w:top w:val="single" w:sz="8" w:color="CCFFEE"/>
            </w:tcBorders>
            <w:shd w:val="clear" w:color="auto" w:fill="CCFFEE"/>
          </w:tcPr>
          <w:p>
            <w:pPr>
              <w:spacing w:after="0"/>
              <w:rPr>
                <w:sz w:val="8"/>
                <w:szCs w:val="8"/>
                <w:color w:val="auto"/>
              </w:rPr>
            </w:pPr>
          </w:p>
        </w:tc>
        <w:tc>
          <w:tcPr>
            <w:tcW w:w="920" w:type="dxa"/>
            <w:vAlign w:val="bottom"/>
            <w:tcBorders>
              <w:top w:val="single" w:sz="8" w:color="auto"/>
            </w:tcBorders>
            <w:shd w:val="clear" w:color="auto" w:fill="CCFFEE"/>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140" w:type="dxa"/>
            <w:vAlign w:val="bottom"/>
            <w:tcBorders>
              <w:top w:val="single" w:sz="8" w:color="CCFFEE"/>
            </w:tcBorders>
            <w:shd w:val="clear" w:color="auto" w:fill="CCFFEE"/>
          </w:tcPr>
          <w:p>
            <w:pPr>
              <w:spacing w:after="0"/>
              <w:rPr>
                <w:sz w:val="8"/>
                <w:szCs w:val="8"/>
                <w:color w:val="auto"/>
              </w:rPr>
            </w:pPr>
          </w:p>
        </w:tc>
        <w:tc>
          <w:tcPr>
            <w:tcW w:w="3140" w:type="dxa"/>
            <w:vAlign w:val="bottom"/>
            <w:tcBorders>
              <w:top w:val="single" w:sz="8" w:color="auto"/>
            </w:tcBorders>
            <w:shd w:val="clear" w:color="auto" w:fill="CCFFEE"/>
          </w:tcPr>
          <w:p>
            <w:pPr>
              <w:spacing w:after="0" w:line="101" w:lineRule="exact"/>
              <w:rPr>
                <w:sz w:val="20"/>
                <w:szCs w:val="20"/>
                <w:color w:val="auto"/>
              </w:rPr>
            </w:pPr>
            <w:r>
              <w:rPr>
                <w:rFonts w:ascii="Times New Roman" w:cs="Times New Roman" w:eastAsia="Times New Roman" w:hAnsi="Times New Roman"/>
                <w:sz w:val="10"/>
                <w:szCs w:val="10"/>
                <w:color w:val="auto"/>
              </w:rPr>
              <w:t>Mr. Hollister has been a Managing Member of Rocking Spade, LLC, a</w:t>
            </w:r>
          </w:p>
        </w:tc>
        <w:tc>
          <w:tcPr>
            <w:tcW w:w="140" w:type="dxa"/>
            <w:vAlign w:val="bottom"/>
            <w:tcBorders>
              <w:top w:val="single" w:sz="8" w:color="CCFFEE"/>
            </w:tcBorders>
            <w:shd w:val="clear" w:color="auto" w:fill="CCFFEE"/>
          </w:tcPr>
          <w:p>
            <w:pPr>
              <w:spacing w:after="0"/>
              <w:rPr>
                <w:sz w:val="8"/>
                <w:szCs w:val="8"/>
                <w:color w:val="auto"/>
              </w:rPr>
            </w:pPr>
          </w:p>
        </w:tc>
        <w:tc>
          <w:tcPr>
            <w:tcW w:w="3540" w:type="dxa"/>
            <w:vAlign w:val="bottom"/>
            <w:tcBorders>
              <w:top w:val="single" w:sz="8" w:color="auto"/>
            </w:tcBorders>
            <w:shd w:val="clear" w:color="auto" w:fill="CCFFEE"/>
          </w:tcPr>
          <w:p>
            <w:pPr>
              <w:spacing w:after="0" w:line="101" w:lineRule="exact"/>
              <w:rPr>
                <w:sz w:val="20"/>
                <w:szCs w:val="20"/>
                <w:color w:val="auto"/>
              </w:rPr>
            </w:pPr>
            <w:r>
              <w:rPr>
                <w:rFonts w:ascii="Times New Roman" w:cs="Times New Roman" w:eastAsia="Times New Roman" w:hAnsi="Times New Roman"/>
                <w:sz w:val="10"/>
                <w:szCs w:val="10"/>
                <w:color w:val="auto"/>
                <w:w w:val="98"/>
              </w:rPr>
              <w:t>The Nominating, Corporate Governance and ESG Committee and the Board of Directors</w:t>
            </w:r>
          </w:p>
        </w:tc>
      </w:tr>
      <w:tr>
        <w:trPr>
          <w:trHeight w:val="117"/>
        </w:trPr>
        <w:tc>
          <w:tcPr>
            <w:tcW w:w="1040" w:type="dxa"/>
            <w:vAlign w:val="bottom"/>
            <w:gridSpan w:val="2"/>
            <w:shd w:val="clear" w:color="auto" w:fill="CCFFEE"/>
          </w:tcPr>
          <w:p>
            <w:pPr>
              <w:jc w:val="center"/>
              <w:ind w:right="120"/>
              <w:spacing w:after="0"/>
              <w:rPr>
                <w:sz w:val="20"/>
                <w:szCs w:val="20"/>
                <w:color w:val="auto"/>
              </w:rPr>
            </w:pPr>
            <w:r>
              <w:rPr>
                <w:rFonts w:ascii="Times New Roman" w:cs="Times New Roman" w:eastAsia="Times New Roman" w:hAnsi="Times New Roman"/>
                <w:sz w:val="10"/>
                <w:szCs w:val="10"/>
                <w:color w:val="auto"/>
                <w:w w:val="96"/>
              </w:rPr>
              <w:t>(Chair)</w:t>
            </w: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diversified investor and developer with interests in ranching and commercial</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believe that Mr. Hollister’s diverse experience in finance and agriculture provides an</w:t>
            </w:r>
          </w:p>
        </w:tc>
      </w:tr>
      <w:tr>
        <w:trPr>
          <w:trHeight w:val="123"/>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9"/>
              </w:rPr>
              <w:t>properties, since 2001. Previously Mr. Hollister was Vice President of Sunrise</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invaluable asset to the Board of Directors as it evaluates not only Calavo’s present</w:t>
            </w:r>
          </w:p>
        </w:tc>
      </w:tr>
      <w:tr>
        <w:trPr>
          <w:trHeight w:val="120"/>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Mortgage &amp; Investment Company, General Manager of Niven Family Wine</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circumstances, but the direction it will head in the future.</w:t>
            </w:r>
          </w:p>
        </w:tc>
      </w:tr>
      <w:tr>
        <w:trPr>
          <w:trHeight w:val="117"/>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9"/>
              </w:rPr>
              <w:t>Estates, Chief Operating Officer of Fess Parker Winery &amp; Vineyard and Santa</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123"/>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8"/>
              </w:rPr>
              <w:t>Barbara County Wine Center, and Senior Vice President of Central Coast Farm</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126"/>
        </w:trPr>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Credit.</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r>
      <w:tr>
        <w:trPr>
          <w:trHeight w:val="260"/>
        </w:trPr>
        <w:tc>
          <w:tcPr>
            <w:tcW w:w="940" w:type="dxa"/>
            <w:vAlign w:val="bottom"/>
            <w:shd w:val="clear" w:color="auto" w:fill="CCFFEE"/>
          </w:tcPr>
          <w:p>
            <w:pPr>
              <w:spacing w:after="0"/>
              <w:rPr>
                <w:sz w:val="22"/>
                <w:szCs w:val="22"/>
                <w:color w:val="auto"/>
              </w:rPr>
            </w:pPr>
          </w:p>
        </w:tc>
        <w:tc>
          <w:tcPr>
            <w:tcW w:w="100" w:type="dxa"/>
            <w:vAlign w:val="bottom"/>
            <w:shd w:val="clear" w:color="auto" w:fill="CCFFEE"/>
          </w:tcPr>
          <w:p>
            <w:pPr>
              <w:spacing w:after="0"/>
              <w:rPr>
                <w:sz w:val="22"/>
                <w:szCs w:val="22"/>
                <w:color w:val="auto"/>
              </w:rPr>
            </w:pPr>
          </w:p>
        </w:tc>
        <w:tc>
          <w:tcPr>
            <w:tcW w:w="60" w:type="dxa"/>
            <w:vAlign w:val="bottom"/>
            <w:shd w:val="clear" w:color="auto" w:fill="CCFFEE"/>
          </w:tcPr>
          <w:p>
            <w:pPr>
              <w:spacing w:after="0"/>
              <w:rPr>
                <w:sz w:val="22"/>
                <w:szCs w:val="22"/>
                <w:color w:val="auto"/>
              </w:rPr>
            </w:pPr>
          </w:p>
        </w:tc>
        <w:tc>
          <w:tcPr>
            <w:tcW w:w="920" w:type="dxa"/>
            <w:vAlign w:val="bottom"/>
            <w:shd w:val="clear" w:color="auto" w:fill="CCFFEE"/>
          </w:tcPr>
          <w:p>
            <w:pPr>
              <w:spacing w:after="0"/>
              <w:rPr>
                <w:sz w:val="22"/>
                <w:szCs w:val="22"/>
                <w:color w:val="auto"/>
              </w:rPr>
            </w:pPr>
          </w:p>
        </w:tc>
        <w:tc>
          <w:tcPr>
            <w:tcW w:w="140" w:type="dxa"/>
            <w:vAlign w:val="bottom"/>
            <w:shd w:val="clear" w:color="auto" w:fill="CCFFEE"/>
          </w:tcPr>
          <w:p>
            <w:pPr>
              <w:spacing w:after="0"/>
              <w:rPr>
                <w:sz w:val="22"/>
                <w:szCs w:val="22"/>
                <w:color w:val="auto"/>
              </w:rPr>
            </w:pPr>
          </w:p>
        </w:tc>
        <w:tc>
          <w:tcPr>
            <w:tcW w:w="3140" w:type="dxa"/>
            <w:vAlign w:val="bottom"/>
            <w:shd w:val="clear" w:color="auto" w:fill="CCFFEE"/>
          </w:tcPr>
          <w:p>
            <w:pPr>
              <w:spacing w:after="0"/>
              <w:rPr>
                <w:sz w:val="22"/>
                <w:szCs w:val="22"/>
                <w:color w:val="auto"/>
              </w:rPr>
            </w:pPr>
          </w:p>
        </w:tc>
        <w:tc>
          <w:tcPr>
            <w:tcW w:w="140" w:type="dxa"/>
            <w:vAlign w:val="bottom"/>
            <w:shd w:val="clear" w:color="auto" w:fill="CCFFEE"/>
          </w:tcPr>
          <w:p>
            <w:pPr>
              <w:spacing w:after="0"/>
              <w:rPr>
                <w:sz w:val="22"/>
                <w:szCs w:val="22"/>
                <w:color w:val="auto"/>
              </w:rPr>
            </w:pPr>
          </w:p>
        </w:tc>
        <w:tc>
          <w:tcPr>
            <w:tcW w:w="3540" w:type="dxa"/>
            <w:vAlign w:val="bottom"/>
            <w:shd w:val="clear" w:color="auto" w:fill="CCFFEE"/>
          </w:tcPr>
          <w:p>
            <w:pPr>
              <w:spacing w:after="0"/>
              <w:rPr>
                <w:sz w:val="22"/>
                <w:szCs w:val="22"/>
                <w:color w:val="auto"/>
              </w:rPr>
            </w:pPr>
          </w:p>
        </w:tc>
      </w:tr>
    </w:tbl>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Kathleen M. Holmgren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70357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i w:val="1"/>
          <w:iCs w:val="1"/>
          <w:color w:val="auto"/>
        </w:rPr>
        <w:t>Age: 65</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Independent/Lead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570357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940" w:type="dxa"/>
            <w:vAlign w:val="bottom"/>
          </w:tcPr>
          <w:p>
            <w:pPr>
              <w:spacing w:after="0"/>
              <w:rPr>
                <w:sz w:val="10"/>
                <w:szCs w:val="10"/>
                <w:color w:val="auto"/>
              </w:rPr>
            </w:pPr>
          </w:p>
        </w:tc>
        <w:tc>
          <w:tcPr>
            <w:tcW w:w="1080" w:type="dxa"/>
            <w:vAlign w:val="bottom"/>
            <w:gridSpan w:val="2"/>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Other public company</w:t>
            </w:r>
          </w:p>
        </w:tc>
        <w:tc>
          <w:tcPr>
            <w:tcW w:w="1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125"/>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60" w:type="dxa"/>
            <w:vAlign w:val="bottom"/>
            <w:tcBorders>
              <w:bottom w:val="single" w:sz="8" w:color="CCFFEE"/>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boards:</w:t>
            </w:r>
          </w:p>
        </w:tc>
        <w:tc>
          <w:tcPr>
            <w:tcW w:w="140" w:type="dxa"/>
            <w:vAlign w:val="bottom"/>
            <w:tcBorders>
              <w:bottom w:val="single" w:sz="8" w:color="CCFFEE"/>
            </w:tcBorders>
          </w:tcPr>
          <w:p>
            <w:pPr>
              <w:spacing w:after="0"/>
              <w:rPr>
                <w:sz w:val="10"/>
                <w:szCs w:val="10"/>
                <w:color w:val="auto"/>
              </w:rPr>
            </w:pPr>
          </w:p>
        </w:tc>
        <w:tc>
          <w:tcPr>
            <w:tcW w:w="31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Borders>
              <w:bottom w:val="single" w:sz="8" w:color="CCFFEE"/>
            </w:tcBorders>
          </w:tcPr>
          <w:p>
            <w:pPr>
              <w:spacing w:after="0"/>
              <w:rPr>
                <w:sz w:val="10"/>
                <w:szCs w:val="10"/>
                <w:color w:val="auto"/>
              </w:rPr>
            </w:pPr>
          </w:p>
        </w:tc>
        <w:tc>
          <w:tcPr>
            <w:tcW w:w="35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10"/>
        </w:trPr>
        <w:tc>
          <w:tcPr>
            <w:tcW w:w="940" w:type="dxa"/>
            <w:vAlign w:val="bottom"/>
            <w:shd w:val="clear" w:color="auto" w:fill="CCFFEE"/>
          </w:tcPr>
          <w:p>
            <w:pPr>
              <w:jc w:val="center"/>
              <w:spacing w:after="0" w:line="110" w:lineRule="exact"/>
              <w:rPr>
                <w:sz w:val="20"/>
                <w:szCs w:val="20"/>
                <w:color w:val="auto"/>
              </w:rPr>
            </w:pPr>
            <w:r>
              <w:rPr>
                <w:rFonts w:ascii="Times New Roman" w:cs="Times New Roman" w:eastAsia="Times New Roman" w:hAnsi="Times New Roman"/>
                <w:sz w:val="10"/>
                <w:szCs w:val="10"/>
                <w:color w:val="auto"/>
                <w:w w:val="96"/>
              </w:rPr>
              <w:t>Compensation</w:t>
            </w:r>
          </w:p>
        </w:tc>
        <w:tc>
          <w:tcPr>
            <w:tcW w:w="160" w:type="dxa"/>
            <w:vAlign w:val="bottom"/>
            <w:shd w:val="clear" w:color="auto" w:fill="CCFFEE"/>
          </w:tcPr>
          <w:p>
            <w:pPr>
              <w:spacing w:after="0"/>
              <w:rPr>
                <w:sz w:val="9"/>
                <w:szCs w:val="9"/>
                <w:color w:val="auto"/>
              </w:rPr>
            </w:pPr>
          </w:p>
        </w:tc>
        <w:tc>
          <w:tcPr>
            <w:tcW w:w="920" w:type="dxa"/>
            <w:vAlign w:val="bottom"/>
            <w:shd w:val="clear" w:color="auto" w:fill="CCFFEE"/>
          </w:tcPr>
          <w:p>
            <w:pPr>
              <w:jc w:val="center"/>
              <w:spacing w:after="0" w:line="110" w:lineRule="exact"/>
              <w:rPr>
                <w:sz w:val="20"/>
                <w:szCs w:val="20"/>
                <w:color w:val="auto"/>
              </w:rPr>
            </w:pPr>
            <w:r>
              <w:rPr>
                <w:rFonts w:ascii="Times New Roman" w:cs="Times New Roman" w:eastAsia="Times New Roman" w:hAnsi="Times New Roman"/>
                <w:sz w:val="10"/>
                <w:szCs w:val="10"/>
                <w:color w:val="auto"/>
                <w:w w:val="98"/>
              </w:rPr>
              <w:t>Extreme Networks</w:t>
            </w:r>
          </w:p>
        </w:tc>
        <w:tc>
          <w:tcPr>
            <w:tcW w:w="140" w:type="dxa"/>
            <w:vAlign w:val="bottom"/>
            <w:shd w:val="clear" w:color="auto" w:fill="CCFFEE"/>
          </w:tcPr>
          <w:p>
            <w:pPr>
              <w:spacing w:after="0"/>
              <w:rPr>
                <w:sz w:val="9"/>
                <w:szCs w:val="9"/>
                <w:color w:val="auto"/>
              </w:rPr>
            </w:pPr>
          </w:p>
        </w:tc>
        <w:tc>
          <w:tcPr>
            <w:tcW w:w="3140" w:type="dxa"/>
            <w:vAlign w:val="bottom"/>
            <w:shd w:val="clear" w:color="auto" w:fill="CCFFEE"/>
          </w:tcPr>
          <w:p>
            <w:pPr>
              <w:spacing w:after="0" w:line="110" w:lineRule="exact"/>
              <w:rPr>
                <w:sz w:val="20"/>
                <w:szCs w:val="20"/>
                <w:color w:val="auto"/>
              </w:rPr>
            </w:pPr>
            <w:r>
              <w:rPr>
                <w:rFonts w:ascii="Times New Roman" w:cs="Times New Roman" w:eastAsia="Times New Roman" w:hAnsi="Times New Roman"/>
                <w:sz w:val="10"/>
                <w:szCs w:val="10"/>
                <w:color w:val="auto"/>
              </w:rPr>
              <w:t>Ms. Holmgren has been Principal of Sage Advice Partners, a management</w:t>
            </w:r>
          </w:p>
        </w:tc>
        <w:tc>
          <w:tcPr>
            <w:tcW w:w="140" w:type="dxa"/>
            <w:vAlign w:val="bottom"/>
            <w:shd w:val="clear" w:color="auto" w:fill="CCFFEE"/>
          </w:tcPr>
          <w:p>
            <w:pPr>
              <w:spacing w:after="0"/>
              <w:rPr>
                <w:sz w:val="9"/>
                <w:szCs w:val="9"/>
                <w:color w:val="auto"/>
              </w:rPr>
            </w:pPr>
          </w:p>
        </w:tc>
        <w:tc>
          <w:tcPr>
            <w:tcW w:w="3540" w:type="dxa"/>
            <w:vAlign w:val="bottom"/>
            <w:shd w:val="clear" w:color="auto" w:fill="CCFFEE"/>
          </w:tcPr>
          <w:p>
            <w:pPr>
              <w:spacing w:after="0" w:line="110" w:lineRule="exact"/>
              <w:rPr>
                <w:sz w:val="20"/>
                <w:szCs w:val="20"/>
                <w:color w:val="auto"/>
              </w:rPr>
            </w:pPr>
            <w:r>
              <w:rPr>
                <w:rFonts w:ascii="Times New Roman" w:cs="Times New Roman" w:eastAsia="Times New Roman" w:hAnsi="Times New Roman"/>
                <w:sz w:val="10"/>
                <w:szCs w:val="10"/>
                <w:color w:val="auto"/>
                <w:w w:val="98"/>
              </w:rPr>
              <w:t>The Nominating, Corporate Governance and ESG Committee and the Board of Directors</w:t>
            </w:r>
          </w:p>
        </w:tc>
      </w:tr>
      <w:tr>
        <w:trPr>
          <w:trHeight w:val="117"/>
        </w:trPr>
        <w:tc>
          <w:tcPr>
            <w:tcW w:w="9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6"/>
              </w:rPr>
              <w:t>(Chair)</w:t>
            </w: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6"/>
              </w:rPr>
              <w:t>(Nasdaq: EXTR)</w:t>
            </w: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consulting practice, since 2006. Previously Ms. Holmgren worked as a Senior</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8"/>
              </w:rPr>
              <w:t>believe that Ms. Holmgren’s extensive leadership experience provides an invaluable asset</w:t>
            </w:r>
          </w:p>
        </w:tc>
      </w:tr>
      <w:tr>
        <w:trPr>
          <w:trHeight w:val="117"/>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8"/>
              </w:rPr>
              <w:t>Vice President at Sun Microsystems, CEO at Mendocino Software and COO at</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w w:val="99"/>
              </w:rPr>
              <w:t>to the Board of Directors as it evaluates not only Calavo’s present circumstances, but the</w:t>
            </w:r>
          </w:p>
        </w:tc>
      </w:tr>
      <w:tr>
        <w:trPr>
          <w:trHeight w:val="123"/>
        </w:trPr>
        <w:tc>
          <w:tcPr>
            <w:tcW w:w="9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4"/>
              </w:rPr>
              <w:t>Executive</w:t>
            </w: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Automation Anywhere.</w:t>
            </w:r>
          </w:p>
        </w:tc>
        <w:tc>
          <w:tcPr>
            <w:tcW w:w="36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direction it will head in the future.</w:t>
            </w:r>
          </w:p>
        </w:tc>
      </w:tr>
      <w:tr>
        <w:trPr>
          <w:trHeight w:val="251"/>
        </w:trPr>
        <w:tc>
          <w:tcPr>
            <w:tcW w:w="940" w:type="dxa"/>
            <w:vAlign w:val="bottom"/>
            <w:shd w:val="clear" w:color="auto" w:fill="CCFFEE"/>
          </w:tcPr>
          <w:p>
            <w:pPr>
              <w:spacing w:after="0"/>
              <w:rPr>
                <w:sz w:val="21"/>
                <w:szCs w:val="21"/>
                <w:color w:val="auto"/>
              </w:rPr>
            </w:pPr>
          </w:p>
        </w:tc>
        <w:tc>
          <w:tcPr>
            <w:tcW w:w="160" w:type="dxa"/>
            <w:vAlign w:val="bottom"/>
            <w:shd w:val="clear" w:color="auto" w:fill="CCFFEE"/>
          </w:tcPr>
          <w:p>
            <w:pPr>
              <w:spacing w:after="0"/>
              <w:rPr>
                <w:sz w:val="21"/>
                <w:szCs w:val="21"/>
                <w:color w:val="auto"/>
              </w:rPr>
            </w:pPr>
          </w:p>
        </w:tc>
        <w:tc>
          <w:tcPr>
            <w:tcW w:w="920" w:type="dxa"/>
            <w:vAlign w:val="bottom"/>
            <w:shd w:val="clear" w:color="auto" w:fill="CCFFEE"/>
          </w:tcPr>
          <w:p>
            <w:pPr>
              <w:spacing w:after="0"/>
              <w:rPr>
                <w:sz w:val="21"/>
                <w:szCs w:val="21"/>
                <w:color w:val="auto"/>
              </w:rPr>
            </w:pPr>
          </w:p>
        </w:tc>
        <w:tc>
          <w:tcPr>
            <w:tcW w:w="140" w:type="dxa"/>
            <w:vAlign w:val="bottom"/>
            <w:shd w:val="clear" w:color="auto" w:fill="CCFFEE"/>
          </w:tcPr>
          <w:p>
            <w:pPr>
              <w:spacing w:after="0"/>
              <w:rPr>
                <w:sz w:val="21"/>
                <w:szCs w:val="21"/>
                <w:color w:val="auto"/>
              </w:rPr>
            </w:pPr>
          </w:p>
        </w:tc>
        <w:tc>
          <w:tcPr>
            <w:tcW w:w="3140" w:type="dxa"/>
            <w:vAlign w:val="bottom"/>
            <w:shd w:val="clear" w:color="auto" w:fill="CCFFEE"/>
          </w:tcPr>
          <w:p>
            <w:pPr>
              <w:spacing w:after="0"/>
              <w:rPr>
                <w:sz w:val="21"/>
                <w:szCs w:val="21"/>
                <w:color w:val="auto"/>
              </w:rPr>
            </w:pPr>
          </w:p>
        </w:tc>
        <w:tc>
          <w:tcPr>
            <w:tcW w:w="140" w:type="dxa"/>
            <w:vAlign w:val="bottom"/>
            <w:shd w:val="clear" w:color="auto" w:fill="CCFFEE"/>
          </w:tcPr>
          <w:p>
            <w:pPr>
              <w:spacing w:after="0"/>
              <w:rPr>
                <w:sz w:val="21"/>
                <w:szCs w:val="21"/>
                <w:color w:val="auto"/>
              </w:rPr>
            </w:pPr>
          </w:p>
        </w:tc>
        <w:tc>
          <w:tcPr>
            <w:tcW w:w="3540" w:type="dxa"/>
            <w:vAlign w:val="bottom"/>
            <w:shd w:val="clear" w:color="auto" w:fill="CCFFEE"/>
          </w:tcPr>
          <w:p>
            <w:pPr>
              <w:spacing w:after="0"/>
              <w:rPr>
                <w:sz w:val="21"/>
                <w:szCs w:val="2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J. Link Leavens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Since: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57035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i w:val="1"/>
          <w:iCs w:val="1"/>
          <w:color w:val="auto"/>
        </w:rPr>
        <w:t>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57035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080" w:type="dxa"/>
            <w:vAlign w:val="bottom"/>
            <w:gridSpan w:val="2"/>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Other public company</w:t>
            </w:r>
          </w:p>
        </w:tc>
        <w:tc>
          <w:tcPr>
            <w:tcW w:w="140" w:type="dxa"/>
            <w:vAlign w:val="bottom"/>
          </w:tcPr>
          <w:p>
            <w:pPr>
              <w:spacing w:after="0"/>
              <w:rPr>
                <w:sz w:val="10"/>
                <w:szCs w:val="10"/>
                <w:color w:val="auto"/>
              </w:rPr>
            </w:pPr>
          </w:p>
        </w:tc>
        <w:tc>
          <w:tcPr>
            <w:tcW w:w="3140" w:type="dxa"/>
            <w:vAlign w:val="bottom"/>
            <w:vMerge w:val="restart"/>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40" w:type="dxa"/>
            <w:vAlign w:val="bottom"/>
          </w:tcPr>
          <w:p>
            <w:pPr>
              <w:spacing w:after="0"/>
              <w:rPr>
                <w:sz w:val="10"/>
                <w:szCs w:val="10"/>
                <w:color w:val="auto"/>
              </w:rPr>
            </w:pPr>
          </w:p>
        </w:tc>
        <w:tc>
          <w:tcPr>
            <w:tcW w:w="3540" w:type="dxa"/>
            <w:vAlign w:val="bottom"/>
            <w:vMerge w:val="restart"/>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c>
          <w:tcPr>
            <w:tcW w:w="0" w:type="dxa"/>
            <w:vAlign w:val="bottom"/>
          </w:tcPr>
          <w:p>
            <w:pPr>
              <w:spacing w:after="0"/>
              <w:rPr>
                <w:sz w:val="1"/>
                <w:szCs w:val="1"/>
                <w:color w:val="auto"/>
              </w:rPr>
            </w:pPr>
          </w:p>
        </w:tc>
      </w:tr>
      <w:tr>
        <w:trPr>
          <w:trHeight w:val="115"/>
        </w:trPr>
        <w:tc>
          <w:tcPr>
            <w:tcW w:w="94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FFEE"/>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boards:</w:t>
            </w:r>
          </w:p>
        </w:tc>
        <w:tc>
          <w:tcPr>
            <w:tcW w:w="140" w:type="dxa"/>
            <w:vAlign w:val="bottom"/>
            <w:tcBorders>
              <w:bottom w:val="single" w:sz="8" w:color="CCFFEE"/>
            </w:tcBorders>
          </w:tcPr>
          <w:p>
            <w:pPr>
              <w:spacing w:after="0"/>
              <w:rPr>
                <w:sz w:val="10"/>
                <w:szCs w:val="10"/>
                <w:color w:val="auto"/>
              </w:rPr>
            </w:pPr>
          </w:p>
        </w:tc>
        <w:tc>
          <w:tcPr>
            <w:tcW w:w="31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FFEE"/>
            </w:tcBorders>
          </w:tcPr>
          <w:p>
            <w:pPr>
              <w:spacing w:after="0"/>
              <w:rPr>
                <w:sz w:val="10"/>
                <w:szCs w:val="10"/>
                <w:color w:val="auto"/>
              </w:rPr>
            </w:pPr>
          </w:p>
        </w:tc>
        <w:tc>
          <w:tcPr>
            <w:tcW w:w="3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40" w:type="dxa"/>
            <w:vAlign w:val="bottom"/>
            <w:shd w:val="clear" w:color="auto" w:fill="CCFFEE"/>
          </w:tcPr>
          <w:p>
            <w:pPr>
              <w:jc w:val="center"/>
              <w:spacing w:after="0" w:line="74" w:lineRule="exact"/>
              <w:rPr>
                <w:sz w:val="20"/>
                <w:szCs w:val="20"/>
                <w:color w:val="auto"/>
              </w:rPr>
            </w:pPr>
            <w:r>
              <w:rPr>
                <w:rFonts w:ascii="Times New Roman" w:cs="Times New Roman" w:eastAsia="Times New Roman" w:hAnsi="Times New Roman"/>
                <w:sz w:val="8"/>
                <w:szCs w:val="8"/>
                <w:color w:val="auto"/>
              </w:rPr>
              <w:t>Executive</w:t>
            </w:r>
          </w:p>
        </w:tc>
        <w:tc>
          <w:tcPr>
            <w:tcW w:w="160" w:type="dxa"/>
            <w:vAlign w:val="bottom"/>
            <w:shd w:val="clear" w:color="auto" w:fill="CCFFEE"/>
          </w:tcPr>
          <w:p>
            <w:pPr>
              <w:spacing w:after="0"/>
              <w:rPr>
                <w:sz w:val="6"/>
                <w:szCs w:val="6"/>
                <w:color w:val="auto"/>
              </w:rPr>
            </w:pPr>
          </w:p>
        </w:tc>
        <w:tc>
          <w:tcPr>
            <w:tcW w:w="920" w:type="dxa"/>
            <w:vAlign w:val="bottom"/>
            <w:shd w:val="clear" w:color="auto" w:fill="CCFFEE"/>
          </w:tcPr>
          <w:p>
            <w:pPr>
              <w:jc w:val="center"/>
              <w:spacing w:after="0" w:line="74" w:lineRule="exact"/>
              <w:rPr>
                <w:sz w:val="20"/>
                <w:szCs w:val="20"/>
                <w:color w:val="auto"/>
              </w:rPr>
            </w:pPr>
            <w:r>
              <w:rPr>
                <w:rFonts w:ascii="Times New Roman" w:cs="Times New Roman" w:eastAsia="Times New Roman" w:hAnsi="Times New Roman"/>
                <w:sz w:val="8"/>
                <w:szCs w:val="8"/>
                <w:color w:val="auto"/>
              </w:rPr>
              <w:t>None</w:t>
            </w:r>
          </w:p>
        </w:tc>
        <w:tc>
          <w:tcPr>
            <w:tcW w:w="140" w:type="dxa"/>
            <w:vAlign w:val="bottom"/>
            <w:shd w:val="clear" w:color="auto" w:fill="CCFFEE"/>
          </w:tcPr>
          <w:p>
            <w:pPr>
              <w:spacing w:after="0"/>
              <w:rPr>
                <w:sz w:val="6"/>
                <w:szCs w:val="6"/>
                <w:color w:val="auto"/>
              </w:rPr>
            </w:pPr>
          </w:p>
        </w:tc>
        <w:tc>
          <w:tcPr>
            <w:tcW w:w="3140" w:type="dxa"/>
            <w:vAlign w:val="bottom"/>
            <w:shd w:val="clear" w:color="auto" w:fill="CCFFEE"/>
          </w:tcPr>
          <w:p>
            <w:pPr>
              <w:spacing w:after="0" w:line="74" w:lineRule="exact"/>
              <w:rPr>
                <w:sz w:val="20"/>
                <w:szCs w:val="20"/>
                <w:color w:val="auto"/>
              </w:rPr>
            </w:pPr>
            <w:r>
              <w:rPr>
                <w:rFonts w:ascii="Times New Roman" w:cs="Times New Roman" w:eastAsia="Times New Roman" w:hAnsi="Times New Roman"/>
                <w:sz w:val="8"/>
                <w:szCs w:val="8"/>
                <w:color w:val="auto"/>
              </w:rPr>
              <w:t>Mr. Leavens has been President and CEO of Leavens Ranches, LLC since 1973.</w:t>
            </w:r>
          </w:p>
        </w:tc>
        <w:tc>
          <w:tcPr>
            <w:tcW w:w="140" w:type="dxa"/>
            <w:vAlign w:val="bottom"/>
            <w:shd w:val="clear" w:color="auto" w:fill="CCFFEE"/>
          </w:tcPr>
          <w:p>
            <w:pPr>
              <w:spacing w:after="0"/>
              <w:rPr>
                <w:sz w:val="6"/>
                <w:szCs w:val="6"/>
                <w:color w:val="auto"/>
              </w:rPr>
            </w:pPr>
          </w:p>
        </w:tc>
        <w:tc>
          <w:tcPr>
            <w:tcW w:w="3540" w:type="dxa"/>
            <w:vAlign w:val="bottom"/>
            <w:shd w:val="clear" w:color="auto" w:fill="CCFFEE"/>
          </w:tcPr>
          <w:p>
            <w:pPr>
              <w:spacing w:after="0" w:line="74" w:lineRule="exact"/>
              <w:rPr>
                <w:sz w:val="20"/>
                <w:szCs w:val="20"/>
                <w:color w:val="auto"/>
              </w:rPr>
            </w:pPr>
            <w:r>
              <w:rPr>
                <w:rFonts w:ascii="Times New Roman" w:cs="Times New Roman" w:eastAsia="Times New Roman" w:hAnsi="Times New Roman"/>
                <w:sz w:val="8"/>
                <w:szCs w:val="8"/>
                <w:color w:val="auto"/>
              </w:rPr>
              <w:t>The Nominating, Corporate Governance and ESG Committee and the Board of Directors</w:t>
            </w:r>
          </w:p>
        </w:tc>
        <w:tc>
          <w:tcPr>
            <w:tcW w:w="0" w:type="dxa"/>
            <w:vAlign w:val="bottom"/>
          </w:tcPr>
          <w:p>
            <w:pPr>
              <w:spacing w:after="0"/>
              <w:rPr>
                <w:sz w:val="1"/>
                <w:szCs w:val="1"/>
                <w:color w:val="auto"/>
              </w:rPr>
            </w:pPr>
          </w:p>
        </w:tc>
      </w:tr>
      <w:tr>
        <w:trPr>
          <w:trHeight w:val="99"/>
        </w:trPr>
        <w:tc>
          <w:tcPr>
            <w:tcW w:w="940" w:type="dxa"/>
            <w:vAlign w:val="bottom"/>
            <w:shd w:val="clear" w:color="auto" w:fill="CCFFEE"/>
          </w:tcPr>
          <w:p>
            <w:pPr>
              <w:spacing w:after="0"/>
              <w:rPr>
                <w:sz w:val="8"/>
                <w:szCs w:val="8"/>
                <w:color w:val="auto"/>
              </w:rPr>
            </w:pPr>
          </w:p>
        </w:tc>
        <w:tc>
          <w:tcPr>
            <w:tcW w:w="16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w w:val="98"/>
              </w:rPr>
              <w:t>Leavens Ranches farms 1,200 acres of lemons, avocados and grapes in Ventura</w:t>
            </w:r>
          </w:p>
        </w:tc>
        <w:tc>
          <w:tcPr>
            <w:tcW w:w="36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rPr>
              <w:t>believe that Mr. Leavens’ experience in the agriculture industry provides an invaluable</w:t>
            </w:r>
          </w:p>
        </w:tc>
        <w:tc>
          <w:tcPr>
            <w:tcW w:w="0" w:type="dxa"/>
            <w:vAlign w:val="bottom"/>
          </w:tcPr>
          <w:p>
            <w:pPr>
              <w:spacing w:after="0"/>
              <w:rPr>
                <w:sz w:val="1"/>
                <w:szCs w:val="1"/>
                <w:color w:val="auto"/>
              </w:rPr>
            </w:pPr>
          </w:p>
        </w:tc>
      </w:tr>
      <w:tr>
        <w:trPr>
          <w:trHeight w:val="99"/>
        </w:trPr>
        <w:tc>
          <w:tcPr>
            <w:tcW w:w="940" w:type="dxa"/>
            <w:vAlign w:val="bottom"/>
            <w:shd w:val="clear" w:color="auto" w:fill="CCFFEE"/>
          </w:tcPr>
          <w:p>
            <w:pPr>
              <w:spacing w:after="0"/>
              <w:rPr>
                <w:sz w:val="8"/>
                <w:szCs w:val="8"/>
                <w:color w:val="auto"/>
              </w:rPr>
            </w:pPr>
          </w:p>
        </w:tc>
        <w:tc>
          <w:tcPr>
            <w:tcW w:w="16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w w:val="97"/>
              </w:rPr>
              <w:t>and Monterey Counties. He has served as President of the Ventura County Farm</w:t>
            </w:r>
          </w:p>
        </w:tc>
        <w:tc>
          <w:tcPr>
            <w:tcW w:w="36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w w:val="97"/>
              </w:rPr>
              <w:t>asset to the Board of Directors as it evaluates not only Calavo’s present circumstances, but</w:t>
            </w:r>
          </w:p>
        </w:tc>
        <w:tc>
          <w:tcPr>
            <w:tcW w:w="0" w:type="dxa"/>
            <w:vAlign w:val="bottom"/>
          </w:tcPr>
          <w:p>
            <w:pPr>
              <w:spacing w:after="0"/>
              <w:rPr>
                <w:sz w:val="1"/>
                <w:szCs w:val="1"/>
                <w:color w:val="auto"/>
              </w:rPr>
            </w:pPr>
          </w:p>
        </w:tc>
      </w:tr>
      <w:tr>
        <w:trPr>
          <w:trHeight w:val="99"/>
        </w:trPr>
        <w:tc>
          <w:tcPr>
            <w:tcW w:w="940" w:type="dxa"/>
            <w:vAlign w:val="bottom"/>
            <w:shd w:val="clear" w:color="auto" w:fill="CCFFEE"/>
          </w:tcPr>
          <w:p>
            <w:pPr>
              <w:spacing w:after="0"/>
              <w:rPr>
                <w:sz w:val="8"/>
                <w:szCs w:val="8"/>
                <w:color w:val="auto"/>
              </w:rPr>
            </w:pPr>
          </w:p>
        </w:tc>
        <w:tc>
          <w:tcPr>
            <w:tcW w:w="16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w w:val="97"/>
              </w:rPr>
              <w:t>Bureau, the Ventura County Resource Conservation District and was a founding</w:t>
            </w:r>
          </w:p>
        </w:tc>
        <w:tc>
          <w:tcPr>
            <w:tcW w:w="36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rPr>
              <w:t>the direction it will head in the future.</w:t>
            </w:r>
          </w:p>
        </w:tc>
        <w:tc>
          <w:tcPr>
            <w:tcW w:w="0" w:type="dxa"/>
            <w:vAlign w:val="bottom"/>
          </w:tcPr>
          <w:p>
            <w:pPr>
              <w:spacing w:after="0"/>
              <w:rPr>
                <w:sz w:val="1"/>
                <w:szCs w:val="1"/>
                <w:color w:val="auto"/>
              </w:rPr>
            </w:pPr>
          </w:p>
        </w:tc>
      </w:tr>
      <w:tr>
        <w:trPr>
          <w:trHeight w:val="99"/>
        </w:trPr>
        <w:tc>
          <w:tcPr>
            <w:tcW w:w="940" w:type="dxa"/>
            <w:vAlign w:val="bottom"/>
            <w:shd w:val="clear" w:color="auto" w:fill="CCFFEE"/>
          </w:tcPr>
          <w:p>
            <w:pPr>
              <w:spacing w:after="0"/>
              <w:rPr>
                <w:sz w:val="8"/>
                <w:szCs w:val="8"/>
                <w:color w:val="auto"/>
              </w:rPr>
            </w:pPr>
          </w:p>
        </w:tc>
        <w:tc>
          <w:tcPr>
            <w:tcW w:w="16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rPr>
              <w:t>member of the University of California Hansen Trust Advisory Committee.</w:t>
            </w:r>
          </w:p>
        </w:tc>
        <w:tc>
          <w:tcPr>
            <w:tcW w:w="140" w:type="dxa"/>
            <w:vAlign w:val="bottom"/>
            <w:shd w:val="clear" w:color="auto" w:fill="CCFFEE"/>
          </w:tcPr>
          <w:p>
            <w:pPr>
              <w:spacing w:after="0"/>
              <w:rPr>
                <w:sz w:val="8"/>
                <w:szCs w:val="8"/>
                <w:color w:val="auto"/>
              </w:rPr>
            </w:pPr>
          </w:p>
        </w:tc>
        <w:tc>
          <w:tcPr>
            <w:tcW w:w="3540" w:type="dxa"/>
            <w:vAlign w:val="bottom"/>
            <w:shd w:val="clear" w:color="auto" w:fill="CCFFE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940" w:type="dxa"/>
            <w:vAlign w:val="bottom"/>
            <w:shd w:val="clear" w:color="auto" w:fill="CCFFEE"/>
          </w:tcPr>
          <w:p>
            <w:pPr>
              <w:spacing w:after="0"/>
              <w:rPr>
                <w:sz w:val="10"/>
                <w:szCs w:val="10"/>
                <w:color w:val="auto"/>
              </w:rPr>
            </w:pPr>
          </w:p>
        </w:tc>
        <w:tc>
          <w:tcPr>
            <w:tcW w:w="16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Leavens Ranches have been delivering avocados to Calavo since 1956.</w:t>
            </w:r>
          </w:p>
        </w:tc>
        <w:tc>
          <w:tcPr>
            <w:tcW w:w="14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c>
          <w:tcPr>
            <w:tcW w:w="0" w:type="dxa"/>
            <w:vAlign w:val="bottom"/>
          </w:tcPr>
          <w:p>
            <w:pPr>
              <w:spacing w:after="0"/>
              <w:rPr>
                <w:sz w:val="1"/>
                <w:szCs w:val="1"/>
                <w:color w:val="auto"/>
              </w:rPr>
            </w:pPr>
          </w:p>
        </w:tc>
      </w:tr>
      <w:tr>
        <w:trPr>
          <w:trHeight w:val="377"/>
        </w:trPr>
        <w:tc>
          <w:tcPr>
            <w:tcW w:w="940" w:type="dxa"/>
            <w:vAlign w:val="bottom"/>
            <w:shd w:val="clear" w:color="auto" w:fill="CCFFEE"/>
          </w:tcPr>
          <w:p>
            <w:pPr>
              <w:spacing w:after="0"/>
              <w:rPr>
                <w:sz w:val="24"/>
                <w:szCs w:val="24"/>
                <w:color w:val="auto"/>
              </w:rPr>
            </w:pPr>
          </w:p>
        </w:tc>
        <w:tc>
          <w:tcPr>
            <w:tcW w:w="160" w:type="dxa"/>
            <w:vAlign w:val="bottom"/>
            <w:shd w:val="clear" w:color="auto" w:fill="CCFFEE"/>
          </w:tcPr>
          <w:p>
            <w:pPr>
              <w:spacing w:after="0"/>
              <w:rPr>
                <w:sz w:val="24"/>
                <w:szCs w:val="24"/>
                <w:color w:val="auto"/>
              </w:rPr>
            </w:pPr>
          </w:p>
        </w:tc>
        <w:tc>
          <w:tcPr>
            <w:tcW w:w="92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314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3540" w:type="dxa"/>
            <w:vAlign w:val="bottom"/>
            <w:shd w:val="clear" w:color="auto" w:fill="CCFFEE"/>
          </w:tcPr>
          <w:p>
            <w:pPr>
              <w:spacing w:after="0"/>
              <w:rPr>
                <w:sz w:val="24"/>
                <w:szCs w:val="24"/>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Brian Kocher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7035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i w:val="1"/>
          <w:iCs w:val="1"/>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57035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3570" cy="5715"/>
                    </a:xfrm>
                    <a:prstGeom prst="rect">
                      <a:avLst/>
                    </a:prstGeom>
                    <a:noFill/>
                  </pic:spPr>
                </pic:pic>
              </a:graphicData>
            </a:graphic>
          </wp:anchor>
        </w:drawing>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Other public</w:t>
            </w:r>
          </w:p>
        </w:tc>
        <w:tc>
          <w:tcPr>
            <w:tcW w:w="140" w:type="dxa"/>
            <w:vAlign w:val="bottom"/>
          </w:tcPr>
          <w:p>
            <w:pPr>
              <w:spacing w:after="0"/>
              <w:rPr>
                <w:sz w:val="10"/>
                <w:szCs w:val="10"/>
                <w:color w:val="auto"/>
              </w:rPr>
            </w:pPr>
          </w:p>
        </w:tc>
        <w:tc>
          <w:tcPr>
            <w:tcW w:w="3140" w:type="dxa"/>
            <w:vAlign w:val="bottom"/>
            <w:vMerge w:val="restart"/>
          </w:tcPr>
          <w:p>
            <w:pPr>
              <w:ind w:left="132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180" w:type="dxa"/>
            <w:vAlign w:val="bottom"/>
          </w:tcPr>
          <w:p>
            <w:pPr>
              <w:spacing w:after="0"/>
              <w:rPr>
                <w:sz w:val="10"/>
                <w:szCs w:val="10"/>
                <w:color w:val="auto"/>
              </w:rPr>
            </w:pPr>
          </w:p>
        </w:tc>
        <w:tc>
          <w:tcPr>
            <w:tcW w:w="3540" w:type="dxa"/>
            <w:vAlign w:val="bottom"/>
            <w:vMerge w:val="restart"/>
          </w:tcPr>
          <w:p>
            <w:pPr>
              <w:ind w:left="118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c>
          <w:tcPr>
            <w:tcW w:w="0" w:type="dxa"/>
            <w:vAlign w:val="bottom"/>
          </w:tcPr>
          <w:p>
            <w:pPr>
              <w:spacing w:after="0"/>
              <w:rPr>
                <w:sz w:val="1"/>
                <w:szCs w:val="1"/>
                <w:color w:val="auto"/>
              </w:rPr>
            </w:pPr>
          </w:p>
        </w:tc>
      </w:tr>
      <w:tr>
        <w:trPr>
          <w:trHeight w:val="115"/>
        </w:trPr>
        <w:tc>
          <w:tcPr>
            <w:tcW w:w="1060" w:type="dxa"/>
            <w:vAlign w:val="bottom"/>
            <w:gridSpan w:val="2"/>
            <w:vMerge w:val="continue"/>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company boards:</w:t>
            </w:r>
          </w:p>
        </w:tc>
        <w:tc>
          <w:tcPr>
            <w:tcW w:w="14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20" w:type="dxa"/>
            <w:vAlign w:val="bottom"/>
            <w:tcBorders>
              <w:top w:val="single" w:sz="8" w:color="auto"/>
            </w:tcBorders>
            <w:shd w:val="clear" w:color="auto" w:fill="CCFFEE"/>
          </w:tcPr>
          <w:p>
            <w:pPr>
              <w:jc w:val="center"/>
              <w:spacing w:after="0" w:line="74" w:lineRule="exact"/>
              <w:rPr>
                <w:sz w:val="20"/>
                <w:szCs w:val="20"/>
                <w:color w:val="auto"/>
              </w:rPr>
            </w:pPr>
            <w:r>
              <w:rPr>
                <w:rFonts w:ascii="Times New Roman" w:cs="Times New Roman" w:eastAsia="Times New Roman" w:hAnsi="Times New Roman"/>
                <w:sz w:val="8"/>
                <w:szCs w:val="8"/>
                <w:color w:val="auto"/>
              </w:rPr>
              <w:t>None</w:t>
            </w:r>
          </w:p>
        </w:tc>
        <w:tc>
          <w:tcPr>
            <w:tcW w:w="140" w:type="dxa"/>
            <w:vAlign w:val="bottom"/>
            <w:tcBorders>
              <w:top w:val="single" w:sz="8" w:color="CCFFEE"/>
            </w:tcBorders>
            <w:shd w:val="clear" w:color="auto" w:fill="CCFFEE"/>
          </w:tcPr>
          <w:p>
            <w:pPr>
              <w:spacing w:after="0"/>
              <w:rPr>
                <w:sz w:val="6"/>
                <w:szCs w:val="6"/>
                <w:color w:val="auto"/>
              </w:rPr>
            </w:pPr>
          </w:p>
        </w:tc>
        <w:tc>
          <w:tcPr>
            <w:tcW w:w="920" w:type="dxa"/>
            <w:vAlign w:val="bottom"/>
            <w:tcBorders>
              <w:top w:val="single" w:sz="8" w:color="auto"/>
            </w:tcBorders>
            <w:shd w:val="clear" w:color="auto" w:fill="CCFFEE"/>
          </w:tcPr>
          <w:p>
            <w:pPr>
              <w:jc w:val="center"/>
              <w:spacing w:after="0" w:line="74" w:lineRule="exact"/>
              <w:rPr>
                <w:sz w:val="20"/>
                <w:szCs w:val="20"/>
                <w:color w:val="auto"/>
              </w:rPr>
            </w:pPr>
            <w:r>
              <w:rPr>
                <w:rFonts w:ascii="Times New Roman" w:cs="Times New Roman" w:eastAsia="Times New Roman" w:hAnsi="Times New Roman"/>
                <w:sz w:val="8"/>
                <w:szCs w:val="8"/>
                <w:color w:val="auto"/>
              </w:rPr>
              <w:t>None</w:t>
            </w:r>
          </w:p>
        </w:tc>
        <w:tc>
          <w:tcPr>
            <w:tcW w:w="140" w:type="dxa"/>
            <w:vAlign w:val="bottom"/>
            <w:tcBorders>
              <w:top w:val="single" w:sz="8" w:color="CCFFEE"/>
            </w:tcBorders>
            <w:shd w:val="clear" w:color="auto" w:fill="CCFFEE"/>
          </w:tcPr>
          <w:p>
            <w:pPr>
              <w:spacing w:after="0"/>
              <w:rPr>
                <w:sz w:val="6"/>
                <w:szCs w:val="6"/>
                <w:color w:val="auto"/>
              </w:rPr>
            </w:pPr>
          </w:p>
        </w:tc>
        <w:tc>
          <w:tcPr>
            <w:tcW w:w="3140" w:type="dxa"/>
            <w:vAlign w:val="bottom"/>
            <w:tcBorders>
              <w:top w:val="single" w:sz="8" w:color="auto"/>
            </w:tcBorders>
            <w:shd w:val="clear" w:color="auto" w:fill="CCFFEE"/>
          </w:tcPr>
          <w:p>
            <w:pPr>
              <w:spacing w:after="0" w:line="74" w:lineRule="exact"/>
              <w:rPr>
                <w:sz w:val="20"/>
                <w:szCs w:val="20"/>
                <w:color w:val="auto"/>
              </w:rPr>
            </w:pPr>
            <w:r>
              <w:rPr>
                <w:rFonts w:ascii="Times New Roman" w:cs="Times New Roman" w:eastAsia="Times New Roman" w:hAnsi="Times New Roman"/>
                <w:sz w:val="8"/>
                <w:szCs w:val="8"/>
                <w:color w:val="auto"/>
              </w:rPr>
              <w:t>Mr. Kocher served as the President and Chief Executive Officer of the Castellini</w:t>
            </w:r>
          </w:p>
        </w:tc>
        <w:tc>
          <w:tcPr>
            <w:tcW w:w="180" w:type="dxa"/>
            <w:vAlign w:val="bottom"/>
            <w:tcBorders>
              <w:top w:val="single" w:sz="8" w:color="CCFFEE"/>
            </w:tcBorders>
            <w:shd w:val="clear" w:color="auto" w:fill="CCFFEE"/>
          </w:tcPr>
          <w:p>
            <w:pPr>
              <w:spacing w:after="0"/>
              <w:rPr>
                <w:sz w:val="6"/>
                <w:szCs w:val="6"/>
                <w:color w:val="auto"/>
              </w:rPr>
            </w:pPr>
          </w:p>
        </w:tc>
        <w:tc>
          <w:tcPr>
            <w:tcW w:w="3540" w:type="dxa"/>
            <w:vAlign w:val="bottom"/>
            <w:tcBorders>
              <w:top w:val="single" w:sz="8" w:color="auto"/>
            </w:tcBorders>
            <w:shd w:val="clear" w:color="auto" w:fill="CCFFEE"/>
          </w:tcPr>
          <w:p>
            <w:pPr>
              <w:spacing w:after="0" w:line="74" w:lineRule="exact"/>
              <w:rPr>
                <w:sz w:val="20"/>
                <w:szCs w:val="20"/>
                <w:color w:val="auto"/>
              </w:rPr>
            </w:pPr>
            <w:r>
              <w:rPr>
                <w:rFonts w:ascii="Times New Roman" w:cs="Times New Roman" w:eastAsia="Times New Roman" w:hAnsi="Times New Roman"/>
                <w:sz w:val="8"/>
                <w:szCs w:val="8"/>
                <w:color w:val="auto"/>
              </w:rPr>
              <w:t>The Nominating, Corporate Governance and ESG Committee and the Board of Directors</w:t>
            </w:r>
          </w:p>
        </w:tc>
        <w:tc>
          <w:tcPr>
            <w:tcW w:w="0" w:type="dxa"/>
            <w:vAlign w:val="bottom"/>
          </w:tcPr>
          <w:p>
            <w:pPr>
              <w:spacing w:after="0"/>
              <w:rPr>
                <w:sz w:val="1"/>
                <w:szCs w:val="1"/>
                <w:color w:val="auto"/>
              </w:rPr>
            </w:pPr>
          </w:p>
        </w:tc>
      </w:tr>
      <w:tr>
        <w:trPr>
          <w:trHeight w:val="99"/>
        </w:trPr>
        <w:tc>
          <w:tcPr>
            <w:tcW w:w="92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rPr>
              <w:t>Group of Companies, one of the largest distributors of fresh produce in the</w:t>
            </w:r>
          </w:p>
        </w:tc>
        <w:tc>
          <w:tcPr>
            <w:tcW w:w="3720" w:type="dxa"/>
            <w:vAlign w:val="bottom"/>
            <w:gridSpan w:val="2"/>
            <w:shd w:val="clear" w:color="auto" w:fill="CCFFEE"/>
          </w:tcPr>
          <w:p>
            <w:pPr>
              <w:ind w:left="180"/>
              <w:spacing w:after="0" w:line="99" w:lineRule="exact"/>
              <w:rPr>
                <w:sz w:val="20"/>
                <w:szCs w:val="20"/>
                <w:color w:val="auto"/>
              </w:rPr>
            </w:pPr>
            <w:r>
              <w:rPr>
                <w:rFonts w:ascii="Times New Roman" w:cs="Times New Roman" w:eastAsia="Times New Roman" w:hAnsi="Times New Roman"/>
                <w:sz w:val="10"/>
                <w:szCs w:val="10"/>
                <w:color w:val="auto"/>
                <w:w w:val="95"/>
              </w:rPr>
              <w:t>believe that Mr. Kocher’s deep knowledge, expertise and operational leadership in the fresh</w:t>
            </w:r>
          </w:p>
        </w:tc>
        <w:tc>
          <w:tcPr>
            <w:tcW w:w="0" w:type="dxa"/>
            <w:vAlign w:val="bottom"/>
          </w:tcPr>
          <w:p>
            <w:pPr>
              <w:spacing w:after="0"/>
              <w:rPr>
                <w:sz w:val="1"/>
                <w:szCs w:val="1"/>
                <w:color w:val="auto"/>
              </w:rPr>
            </w:pPr>
          </w:p>
        </w:tc>
      </w:tr>
      <w:tr>
        <w:trPr>
          <w:trHeight w:val="99"/>
        </w:trPr>
        <w:tc>
          <w:tcPr>
            <w:tcW w:w="92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w w:val="95"/>
              </w:rPr>
              <w:t>United States from January 2017 to January 2022, and as Chief Operating Officer</w:t>
            </w:r>
          </w:p>
        </w:tc>
        <w:tc>
          <w:tcPr>
            <w:tcW w:w="3720" w:type="dxa"/>
            <w:vAlign w:val="bottom"/>
            <w:gridSpan w:val="2"/>
            <w:shd w:val="clear" w:color="auto" w:fill="CCFFEE"/>
          </w:tcPr>
          <w:p>
            <w:pPr>
              <w:ind w:left="180"/>
              <w:spacing w:after="0" w:line="99" w:lineRule="exact"/>
              <w:rPr>
                <w:sz w:val="20"/>
                <w:szCs w:val="20"/>
                <w:color w:val="auto"/>
              </w:rPr>
            </w:pPr>
            <w:r>
              <w:rPr>
                <w:rFonts w:ascii="Times New Roman" w:cs="Times New Roman" w:eastAsia="Times New Roman" w:hAnsi="Times New Roman"/>
                <w:sz w:val="10"/>
                <w:szCs w:val="10"/>
                <w:color w:val="auto"/>
                <w:w w:val="99"/>
              </w:rPr>
              <w:t>produce industry makes him an integral member to the Board of Directors. Mr. Kocher’s</w:t>
            </w:r>
          </w:p>
        </w:tc>
        <w:tc>
          <w:tcPr>
            <w:tcW w:w="0" w:type="dxa"/>
            <w:vAlign w:val="bottom"/>
          </w:tcPr>
          <w:p>
            <w:pPr>
              <w:spacing w:after="0"/>
              <w:rPr>
                <w:sz w:val="1"/>
                <w:szCs w:val="1"/>
                <w:color w:val="auto"/>
              </w:rPr>
            </w:pPr>
          </w:p>
        </w:tc>
      </w:tr>
      <w:tr>
        <w:trPr>
          <w:trHeight w:val="99"/>
        </w:trPr>
        <w:tc>
          <w:tcPr>
            <w:tcW w:w="92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w w:val="95"/>
              </w:rPr>
              <w:t>from May 2015 to December 2016. Before his time at Castellini, Mr. Kocher held</w:t>
            </w:r>
          </w:p>
        </w:tc>
        <w:tc>
          <w:tcPr>
            <w:tcW w:w="3720" w:type="dxa"/>
            <w:vAlign w:val="bottom"/>
            <w:gridSpan w:val="2"/>
            <w:shd w:val="clear" w:color="auto" w:fill="CCFFEE"/>
          </w:tcPr>
          <w:p>
            <w:pPr>
              <w:ind w:left="180"/>
              <w:spacing w:after="0" w:line="99" w:lineRule="exact"/>
              <w:rPr>
                <w:sz w:val="20"/>
                <w:szCs w:val="20"/>
                <w:color w:val="auto"/>
              </w:rPr>
            </w:pPr>
            <w:r>
              <w:rPr>
                <w:rFonts w:ascii="Times New Roman" w:cs="Times New Roman" w:eastAsia="Times New Roman" w:hAnsi="Times New Roman"/>
                <w:sz w:val="10"/>
                <w:szCs w:val="10"/>
                <w:color w:val="auto"/>
                <w:w w:val="99"/>
              </w:rPr>
              <w:t>presence on the Board also allows for a flow of information and idea between the Board</w:t>
            </w:r>
          </w:p>
        </w:tc>
        <w:tc>
          <w:tcPr>
            <w:tcW w:w="0" w:type="dxa"/>
            <w:vAlign w:val="bottom"/>
          </w:tcPr>
          <w:p>
            <w:pPr>
              <w:spacing w:after="0"/>
              <w:rPr>
                <w:sz w:val="1"/>
                <w:szCs w:val="1"/>
                <w:color w:val="auto"/>
              </w:rPr>
            </w:pPr>
          </w:p>
        </w:tc>
      </w:tr>
      <w:tr>
        <w:trPr>
          <w:trHeight w:val="99"/>
        </w:trPr>
        <w:tc>
          <w:tcPr>
            <w:tcW w:w="92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920" w:type="dxa"/>
            <w:vAlign w:val="bottom"/>
            <w:shd w:val="clear" w:color="auto" w:fill="CCFFEE"/>
          </w:tcPr>
          <w:p>
            <w:pPr>
              <w:spacing w:after="0"/>
              <w:rPr>
                <w:sz w:val="8"/>
                <w:szCs w:val="8"/>
                <w:color w:val="auto"/>
              </w:rPr>
            </w:pPr>
          </w:p>
        </w:tc>
        <w:tc>
          <w:tcPr>
            <w:tcW w:w="3280" w:type="dxa"/>
            <w:vAlign w:val="bottom"/>
            <w:gridSpan w:val="2"/>
            <w:shd w:val="clear" w:color="auto" w:fill="CCFFEE"/>
          </w:tcPr>
          <w:p>
            <w:pPr>
              <w:ind w:left="140"/>
              <w:spacing w:after="0" w:line="99" w:lineRule="exact"/>
              <w:rPr>
                <w:sz w:val="20"/>
                <w:szCs w:val="20"/>
                <w:color w:val="auto"/>
              </w:rPr>
            </w:pPr>
            <w:r>
              <w:rPr>
                <w:rFonts w:ascii="Times New Roman" w:cs="Times New Roman" w:eastAsia="Times New Roman" w:hAnsi="Times New Roman"/>
                <w:sz w:val="10"/>
                <w:szCs w:val="10"/>
                <w:color w:val="auto"/>
                <w:w w:val="96"/>
              </w:rPr>
              <w:t>several executive roles, including Interim CEO, at Chiquita Brands International,</w:t>
            </w:r>
          </w:p>
        </w:tc>
        <w:tc>
          <w:tcPr>
            <w:tcW w:w="3720" w:type="dxa"/>
            <w:vAlign w:val="bottom"/>
            <w:gridSpan w:val="2"/>
            <w:shd w:val="clear" w:color="auto" w:fill="CCFFEE"/>
          </w:tcPr>
          <w:p>
            <w:pPr>
              <w:ind w:left="180"/>
              <w:spacing w:after="0" w:line="99" w:lineRule="exact"/>
              <w:rPr>
                <w:sz w:val="20"/>
                <w:szCs w:val="20"/>
                <w:color w:val="auto"/>
              </w:rPr>
            </w:pPr>
            <w:r>
              <w:rPr>
                <w:rFonts w:ascii="Times New Roman" w:cs="Times New Roman" w:eastAsia="Times New Roman" w:hAnsi="Times New Roman"/>
                <w:sz w:val="10"/>
                <w:szCs w:val="10"/>
                <w:color w:val="auto"/>
              </w:rPr>
              <w:t>and management.</w:t>
            </w:r>
          </w:p>
        </w:tc>
        <w:tc>
          <w:tcPr>
            <w:tcW w:w="0" w:type="dxa"/>
            <w:vAlign w:val="bottom"/>
          </w:tcPr>
          <w:p>
            <w:pPr>
              <w:spacing w:after="0"/>
              <w:rPr>
                <w:sz w:val="1"/>
                <w:szCs w:val="1"/>
                <w:color w:val="auto"/>
              </w:rPr>
            </w:pPr>
          </w:p>
        </w:tc>
      </w:tr>
      <w:tr>
        <w:trPr>
          <w:trHeight w:val="123"/>
        </w:trPr>
        <w:tc>
          <w:tcPr>
            <w:tcW w:w="92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920" w:type="dxa"/>
            <w:vAlign w:val="bottom"/>
            <w:shd w:val="clear" w:color="auto" w:fill="CCFFEE"/>
          </w:tcPr>
          <w:p>
            <w:pPr>
              <w:spacing w:after="0"/>
              <w:rPr>
                <w:sz w:val="10"/>
                <w:szCs w:val="10"/>
                <w:color w:val="auto"/>
              </w:rPr>
            </w:pPr>
          </w:p>
        </w:tc>
        <w:tc>
          <w:tcPr>
            <w:tcW w:w="32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0"/>
                <w:szCs w:val="10"/>
                <w:color w:val="auto"/>
              </w:rPr>
              <w:t>a leading producer and distributor of bananas and other produce.</w:t>
            </w:r>
          </w:p>
        </w:tc>
        <w:tc>
          <w:tcPr>
            <w:tcW w:w="180" w:type="dxa"/>
            <w:vAlign w:val="bottom"/>
            <w:shd w:val="clear" w:color="auto" w:fill="CCFFEE"/>
          </w:tcPr>
          <w:p>
            <w:pPr>
              <w:spacing w:after="0"/>
              <w:rPr>
                <w:sz w:val="10"/>
                <w:szCs w:val="10"/>
                <w:color w:val="auto"/>
              </w:rPr>
            </w:pPr>
          </w:p>
        </w:tc>
        <w:tc>
          <w:tcPr>
            <w:tcW w:w="3540" w:type="dxa"/>
            <w:vAlign w:val="bottom"/>
            <w:shd w:val="clear" w:color="auto" w:fill="CCFFEE"/>
          </w:tcPr>
          <w:p>
            <w:pPr>
              <w:spacing w:after="0"/>
              <w:rPr>
                <w:sz w:val="10"/>
                <w:szCs w:val="10"/>
                <w:color w:val="auto"/>
              </w:rPr>
            </w:pPr>
          </w:p>
        </w:tc>
        <w:tc>
          <w:tcPr>
            <w:tcW w:w="0" w:type="dxa"/>
            <w:vAlign w:val="bottom"/>
          </w:tcPr>
          <w:p>
            <w:pPr>
              <w:spacing w:after="0"/>
              <w:rPr>
                <w:sz w:val="1"/>
                <w:szCs w:val="1"/>
                <w:color w:val="auto"/>
              </w:rPr>
            </w:pPr>
          </w:p>
        </w:tc>
      </w:tr>
      <w:tr>
        <w:trPr>
          <w:trHeight w:val="485"/>
        </w:trPr>
        <w:tc>
          <w:tcPr>
            <w:tcW w:w="92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920" w:type="dxa"/>
            <w:vAlign w:val="bottom"/>
            <w:shd w:val="clear" w:color="auto" w:fill="CCFFEE"/>
          </w:tcPr>
          <w:p>
            <w:pPr>
              <w:spacing w:after="0"/>
              <w:rPr>
                <w:sz w:val="24"/>
                <w:szCs w:val="24"/>
                <w:color w:val="auto"/>
              </w:rPr>
            </w:pPr>
          </w:p>
        </w:tc>
        <w:tc>
          <w:tcPr>
            <w:tcW w:w="140" w:type="dxa"/>
            <w:vAlign w:val="bottom"/>
            <w:shd w:val="clear" w:color="auto" w:fill="CCFFEE"/>
          </w:tcPr>
          <w:p>
            <w:pPr>
              <w:spacing w:after="0"/>
              <w:rPr>
                <w:sz w:val="24"/>
                <w:szCs w:val="24"/>
                <w:color w:val="auto"/>
              </w:rPr>
            </w:pPr>
          </w:p>
        </w:tc>
        <w:tc>
          <w:tcPr>
            <w:tcW w:w="3140" w:type="dxa"/>
            <w:vAlign w:val="bottom"/>
            <w:shd w:val="clear" w:color="auto" w:fill="CCFFEE"/>
          </w:tcPr>
          <w:p>
            <w:pPr>
              <w:spacing w:after="0"/>
              <w:rPr>
                <w:sz w:val="24"/>
                <w:szCs w:val="24"/>
                <w:color w:val="auto"/>
              </w:rPr>
            </w:pPr>
          </w:p>
        </w:tc>
        <w:tc>
          <w:tcPr>
            <w:tcW w:w="180" w:type="dxa"/>
            <w:vAlign w:val="bottom"/>
            <w:shd w:val="clear" w:color="auto" w:fill="CCFFEE"/>
          </w:tcPr>
          <w:p>
            <w:pPr>
              <w:spacing w:after="0"/>
              <w:rPr>
                <w:sz w:val="24"/>
                <w:szCs w:val="24"/>
                <w:color w:val="auto"/>
              </w:rPr>
            </w:pPr>
          </w:p>
        </w:tc>
        <w:tc>
          <w:tcPr>
            <w:tcW w:w="3540" w:type="dxa"/>
            <w:vAlign w:val="bottom"/>
            <w:shd w:val="clear" w:color="auto" w:fill="CCFFE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138"/>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Members of our Board self-identify as set forth in the table below:</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Total Number of Directors</w:t>
            </w:r>
          </w:p>
        </w:tc>
        <w:tc>
          <w:tcPr>
            <w:tcW w:w="2940" w:type="dxa"/>
            <w:vAlign w:val="bottom"/>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Board Diversity Matrix (As of February 28, 2022)</w:t>
            </w:r>
          </w:p>
        </w:tc>
        <w:tc>
          <w:tcPr>
            <w:tcW w:w="1920" w:type="dxa"/>
            <w:vAlign w:val="bottom"/>
            <w:vMerge w:val="restart"/>
          </w:tcPr>
          <w:p>
            <w:pPr>
              <w:jc w:val="right"/>
              <w:ind w:right="1348"/>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320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 I: Gender Identity</w:t>
            </w:r>
          </w:p>
        </w:tc>
        <w:tc>
          <w:tcPr>
            <w:tcW w:w="10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9"/>
              </w:rPr>
              <w:t>Female</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9"/>
                <w:szCs w:val="9"/>
                <w:b w:val="1"/>
                <w:bCs w:val="1"/>
                <w:color w:val="auto"/>
              </w:rPr>
              <w:t>Male</w:t>
            </w:r>
          </w:p>
        </w:tc>
        <w:tc>
          <w:tcPr>
            <w:tcW w:w="1920" w:type="dxa"/>
            <w:vAlign w:val="bottom"/>
          </w:tcPr>
          <w:p>
            <w:pPr>
              <w:jc w:val="right"/>
              <w:ind w:right="888"/>
              <w:spacing w:after="0"/>
              <w:rPr>
                <w:sz w:val="20"/>
                <w:szCs w:val="20"/>
                <w:color w:val="auto"/>
              </w:rPr>
            </w:pPr>
            <w:r>
              <w:rPr>
                <w:rFonts w:ascii="Times New Roman" w:cs="Times New Roman" w:eastAsia="Times New Roman" w:hAnsi="Times New Roman"/>
                <w:sz w:val="9"/>
                <w:szCs w:val="9"/>
                <w:b w:val="1"/>
                <w:bCs w:val="1"/>
                <w:color w:val="auto"/>
              </w:rPr>
              <w:t>Non-Binary</w:t>
            </w:r>
          </w:p>
        </w:tc>
        <w:tc>
          <w:tcPr>
            <w:tcW w:w="0" w:type="dxa"/>
            <w:vAlign w:val="bottom"/>
          </w:tcPr>
          <w:p>
            <w:pPr>
              <w:spacing w:after="0"/>
              <w:rPr>
                <w:sz w:val="1"/>
                <w:szCs w:val="1"/>
                <w:color w:val="auto"/>
              </w:rPr>
            </w:pPr>
          </w:p>
        </w:tc>
      </w:tr>
      <w:tr>
        <w:trPr>
          <w:trHeight w:val="113"/>
        </w:trPr>
        <w:tc>
          <w:tcPr>
            <w:tcW w:w="32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9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Directors</w:t>
            </w:r>
          </w:p>
        </w:tc>
        <w:tc>
          <w:tcPr>
            <w:tcW w:w="1600" w:type="dxa"/>
            <w:vAlign w:val="bottom"/>
            <w:gridSpan w:val="2"/>
          </w:tcPr>
          <w:p>
            <w:pPr>
              <w:jc w:val="center"/>
              <w:ind w:left="960"/>
              <w:spacing w:after="0"/>
              <w:rPr>
                <w:sz w:val="20"/>
                <w:szCs w:val="20"/>
                <w:color w:val="auto"/>
              </w:rPr>
            </w:pPr>
            <w:r>
              <w:rPr>
                <w:rFonts w:ascii="Times New Roman" w:cs="Times New Roman" w:eastAsia="Times New Roman" w:hAnsi="Times New Roman"/>
                <w:sz w:val="12"/>
                <w:szCs w:val="12"/>
                <w:color w:val="auto"/>
                <w:w w:val="99"/>
              </w:rPr>
              <w:t>3</w:t>
            </w:r>
          </w:p>
        </w:tc>
        <w:tc>
          <w:tcPr>
            <w:tcW w:w="2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Part II: Demographic Background</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African American or Black</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Alaskan Native or Native American</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Asian</w:t>
            </w:r>
          </w:p>
        </w:tc>
        <w:tc>
          <w:tcPr>
            <w:tcW w:w="1600" w:type="dxa"/>
            <w:vAlign w:val="bottom"/>
            <w:gridSpan w:val="2"/>
          </w:tcPr>
          <w:p>
            <w:pPr>
              <w:jc w:val="center"/>
              <w:ind w:left="960"/>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Hispanic or Latinx</w:t>
            </w:r>
          </w:p>
        </w:tc>
        <w:tc>
          <w:tcPr>
            <w:tcW w:w="1600" w:type="dxa"/>
            <w:vAlign w:val="bottom"/>
            <w:gridSpan w:val="2"/>
          </w:tcPr>
          <w:p>
            <w:pPr>
              <w:jc w:val="center"/>
              <w:ind w:left="960"/>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Native Hawaiian or Pacific Islander</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White</w:t>
            </w:r>
          </w:p>
        </w:tc>
        <w:tc>
          <w:tcPr>
            <w:tcW w:w="1600" w:type="dxa"/>
            <w:vAlign w:val="bottom"/>
            <w:gridSpan w:val="2"/>
          </w:tcPr>
          <w:p>
            <w:pPr>
              <w:jc w:val="center"/>
              <w:ind w:left="960"/>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Two or More Races or Ethnicities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LGBTQ+</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Did Not Disclose Demographic Background</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-913765</wp:posOffset>
            </wp:positionV>
            <wp:extent cx="5697855" cy="914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-730885</wp:posOffset>
            </wp:positionV>
            <wp:extent cx="5697855" cy="91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-548005</wp:posOffset>
            </wp:positionV>
            <wp:extent cx="5697855" cy="91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-365125</wp:posOffset>
            </wp:positionV>
            <wp:extent cx="5697855" cy="91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-182245</wp:posOffset>
            </wp:positionV>
            <wp:extent cx="5697855" cy="91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-1096645</wp:posOffset>
            </wp:positionV>
            <wp:extent cx="5697855" cy="91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45720</wp:posOffset>
            </wp:positionV>
            <wp:extent cx="142875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One director identifies as both White and Latinx.</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6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 Number of Directors</w:t>
            </w:r>
          </w:p>
        </w:tc>
        <w:tc>
          <w:tcPr>
            <w:tcW w:w="3480" w:type="dxa"/>
            <w:vAlign w:val="bottom"/>
            <w:gridSpan w:val="6"/>
          </w:tcPr>
          <w:p>
            <w:pPr>
              <w:ind w:left="540"/>
              <w:spacing w:after="0"/>
              <w:rPr>
                <w:sz w:val="20"/>
                <w:szCs w:val="20"/>
                <w:color w:val="auto"/>
              </w:rPr>
            </w:pPr>
            <w:r>
              <w:rPr>
                <w:rFonts w:ascii="Times New Roman" w:cs="Times New Roman" w:eastAsia="Times New Roman" w:hAnsi="Times New Roman"/>
                <w:sz w:val="12"/>
                <w:szCs w:val="12"/>
                <w:b w:val="1"/>
                <w:bCs w:val="1"/>
                <w:color w:val="auto"/>
              </w:rPr>
              <w:t>Board Diversity Matrix (As of February 27, 2023)</w:t>
            </w:r>
          </w:p>
        </w:tc>
        <w:tc>
          <w:tcPr>
            <w:tcW w:w="1900" w:type="dxa"/>
            <w:vAlign w:val="bottom"/>
            <w:vMerge w:val="restart"/>
          </w:tcPr>
          <w:p>
            <w:pPr>
              <w:jc w:val="right"/>
              <w:ind w:right="1388"/>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268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 I: Gender Identity</w:t>
            </w:r>
          </w:p>
        </w:tc>
        <w:tc>
          <w:tcPr>
            <w:tcW w:w="156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9"/>
              </w:rPr>
              <w:t>Female</w:t>
            </w: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9"/>
                <w:szCs w:val="9"/>
                <w:b w:val="1"/>
                <w:bCs w:val="1"/>
                <w:color w:val="auto"/>
              </w:rPr>
              <w:t>Male</w:t>
            </w:r>
          </w:p>
        </w:tc>
        <w:tc>
          <w:tcPr>
            <w:tcW w:w="1900" w:type="dxa"/>
            <w:vAlign w:val="bottom"/>
          </w:tcPr>
          <w:p>
            <w:pPr>
              <w:jc w:val="right"/>
              <w:ind w:right="888"/>
              <w:spacing w:after="0"/>
              <w:rPr>
                <w:sz w:val="20"/>
                <w:szCs w:val="20"/>
                <w:color w:val="auto"/>
              </w:rPr>
            </w:pPr>
            <w:r>
              <w:rPr>
                <w:rFonts w:ascii="Times New Roman" w:cs="Times New Roman" w:eastAsia="Times New Roman" w:hAnsi="Times New Roman"/>
                <w:sz w:val="9"/>
                <w:szCs w:val="9"/>
                <w:b w:val="1"/>
                <w:bCs w:val="1"/>
                <w:color w:val="auto"/>
              </w:rPr>
              <w:t>Non-Binary</w:t>
            </w:r>
          </w:p>
        </w:tc>
        <w:tc>
          <w:tcPr>
            <w:tcW w:w="0" w:type="dxa"/>
            <w:vAlign w:val="bottom"/>
          </w:tcPr>
          <w:p>
            <w:pPr>
              <w:spacing w:after="0"/>
              <w:rPr>
                <w:sz w:val="1"/>
                <w:szCs w:val="1"/>
                <w:color w:val="auto"/>
              </w:rPr>
            </w:pPr>
          </w:p>
        </w:tc>
      </w:tr>
      <w:tr>
        <w:trPr>
          <w:trHeight w:val="113"/>
        </w:trPr>
        <w:tc>
          <w:tcPr>
            <w:tcW w:w="268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9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Directors</w:t>
            </w:r>
          </w:p>
        </w:tc>
        <w:tc>
          <w:tcPr>
            <w:tcW w:w="2120" w:type="dxa"/>
            <w:vAlign w:val="bottom"/>
            <w:gridSpan w:val="2"/>
          </w:tcPr>
          <w:p>
            <w:pPr>
              <w:jc w:val="center"/>
              <w:ind w:left="1480"/>
              <w:spacing w:after="0"/>
              <w:rPr>
                <w:sz w:val="20"/>
                <w:szCs w:val="20"/>
                <w:color w:val="auto"/>
              </w:rPr>
            </w:pPr>
            <w:r>
              <w:rPr>
                <w:rFonts w:ascii="Times New Roman" w:cs="Times New Roman" w:eastAsia="Times New Roman" w:hAnsi="Times New Roman"/>
                <w:sz w:val="12"/>
                <w:szCs w:val="12"/>
                <w:color w:val="auto"/>
                <w:w w:val="99"/>
              </w:rPr>
              <w:t>3</w:t>
            </w:r>
          </w:p>
        </w:tc>
        <w:tc>
          <w:tcPr>
            <w:tcW w:w="2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II: Demographic Background</w:t>
            </w: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African American or Black</w:t>
            </w: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Alaskan Native or Native American</w:t>
            </w: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Asian</w:t>
            </w:r>
          </w:p>
        </w:tc>
        <w:tc>
          <w:tcPr>
            <w:tcW w:w="2120" w:type="dxa"/>
            <w:vAlign w:val="bottom"/>
            <w:gridSpan w:val="2"/>
          </w:tcPr>
          <w:p>
            <w:pPr>
              <w:jc w:val="center"/>
              <w:ind w:left="1480"/>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Hispanic or Latinx</w:t>
            </w:r>
          </w:p>
        </w:tc>
        <w:tc>
          <w:tcPr>
            <w:tcW w:w="2120" w:type="dxa"/>
            <w:vAlign w:val="bottom"/>
            <w:gridSpan w:val="2"/>
          </w:tcPr>
          <w:p>
            <w:pPr>
              <w:jc w:val="center"/>
              <w:ind w:left="1480"/>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Native Hawaiian or Pacific Islander</w:t>
            </w: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White</w:t>
            </w:r>
          </w:p>
        </w:tc>
        <w:tc>
          <w:tcPr>
            <w:tcW w:w="2120" w:type="dxa"/>
            <w:vAlign w:val="bottom"/>
            <w:gridSpan w:val="2"/>
          </w:tcPr>
          <w:p>
            <w:pPr>
              <w:jc w:val="center"/>
              <w:ind w:left="1480"/>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Two or More Races or Ethnicities</w:t>
            </w: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LGBTQ+</w:t>
            </w: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Did Not Disclose Demographic Background</w:t>
            </w:r>
          </w:p>
        </w:tc>
        <w:tc>
          <w:tcPr>
            <w:tcW w:w="1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-913765</wp:posOffset>
            </wp:positionV>
            <wp:extent cx="5697855" cy="91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-730885</wp:posOffset>
            </wp:positionV>
            <wp:extent cx="5697855" cy="9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-548005</wp:posOffset>
            </wp:positionV>
            <wp:extent cx="5697855" cy="91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-365125</wp:posOffset>
            </wp:positionV>
            <wp:extent cx="5697855" cy="914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-182245</wp:posOffset>
            </wp:positionV>
            <wp:extent cx="5697855" cy="91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-1096645</wp:posOffset>
            </wp:positionV>
            <wp:extent cx="5697855" cy="91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7855" cy="914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45720</wp:posOffset>
            </wp:positionV>
            <wp:extent cx="142875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One director identifies as both White and Latinx.</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The Board of Directors unanimously recommends that you vote your shares “FOR” each of the nine nominees named above for election to the Board.</w:t>
      </w:r>
    </w:p>
    <w:p>
      <w:pPr>
        <w:spacing w:after="0" w:line="2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Did Not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Disclose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Gender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Did Not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Disclose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Gender</w:t>
      </w:r>
    </w:p>
    <w:p>
      <w:pPr>
        <w:sectPr>
          <w:pgSz w:w="11900" w:h="16838" w:orient="portrait"/>
          <w:cols w:equalWidth="0" w:num="2">
            <w:col w:w="8080" w:space="440"/>
            <w:col w:w="499"/>
          </w:cols>
          <w:pgMar w:left="1440" w:top="479"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RATIFICATION OF INDEPENDENT REGISTERED PUBLIC ACCOUNTING FIRM</w:t>
      </w:r>
    </w:p>
    <w:p>
      <w:pPr>
        <w:spacing w:after="0" w:line="154" w:lineRule="exact"/>
        <w:rPr>
          <w:sz w:val="20"/>
          <w:szCs w:val="20"/>
          <w:color w:val="auto"/>
        </w:rPr>
      </w:pPr>
    </w:p>
    <w:p>
      <w:pPr>
        <w:jc w:val="both"/>
        <w:ind w:left="20" w:right="59"/>
        <w:spacing w:after="0" w:line="265" w:lineRule="auto"/>
        <w:rPr>
          <w:sz w:val="20"/>
          <w:szCs w:val="20"/>
          <w:color w:val="auto"/>
        </w:rPr>
      </w:pPr>
      <w:r>
        <w:rPr>
          <w:rFonts w:ascii="Times New Roman" w:cs="Times New Roman" w:eastAsia="Times New Roman" w:hAnsi="Times New Roman"/>
          <w:sz w:val="12"/>
          <w:szCs w:val="12"/>
          <w:color w:val="auto"/>
        </w:rPr>
        <w:t>The Audit Committee of the Board has appointed Deloitte &amp; Touche LLP as the independent registered public accounting firm to audit our consolidated financial statements for the fiscal year ending October 31, 2023. We are asking our shareholders to ratify the appointment of Deloitte &amp; Touche LLP. During fiscal 2022, Deloitte &amp; Touche LLP served as our independent registered public accounting firm. See "Principal Auditor Fees and Services" on page 51.</w:t>
      </w:r>
    </w:p>
    <w:p>
      <w:pPr>
        <w:spacing w:after="0" w:line="119"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Shareholder ratification of the selection of Deloitte &amp; Touche LLP as our independent registered public accounting firm is not required by California law or our charter documents. However, the Board is submitting the Audit Committee’s selection of Deloitte &amp; Touche LLP to the shareholders for ratification as a matter of good corporate practice. If the appointment is not ratified by our shareholders, the Audit Committee will consider whether it should select another independent registered public accounting firm. Even if the appointment is ratified, the Audit Committee, in its discretion, may appoint a different independent registered public accounting firm at any time during the fiscal year if the Audit Committee determines that such a change would be in the best interests of Calavo and its shareholders.</w:t>
      </w:r>
    </w:p>
    <w:p>
      <w:pPr>
        <w:spacing w:after="0" w:line="121" w:lineRule="exact"/>
        <w:rPr>
          <w:sz w:val="20"/>
          <w:szCs w:val="20"/>
          <w:color w:val="auto"/>
        </w:rPr>
      </w:pPr>
    </w:p>
    <w:p>
      <w:pPr>
        <w:ind w:left="20" w:right="79"/>
        <w:spacing w:after="0" w:line="286" w:lineRule="auto"/>
        <w:rPr>
          <w:sz w:val="20"/>
          <w:szCs w:val="20"/>
          <w:color w:val="auto"/>
        </w:rPr>
      </w:pPr>
      <w:r>
        <w:rPr>
          <w:rFonts w:ascii="Times New Roman" w:cs="Times New Roman" w:eastAsia="Times New Roman" w:hAnsi="Times New Roman"/>
          <w:sz w:val="12"/>
          <w:szCs w:val="12"/>
          <w:b w:val="1"/>
          <w:bCs w:val="1"/>
          <w:color w:val="auto"/>
        </w:rPr>
        <w:t>The Board of Directors unanimously recommends a vote “FOR” the ratification of the appointment of Deloitte &amp; Touche LLP as our independent registered public accounting firm for the 2023 fiscal year.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3</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ADVISORY VOTE ON EXECUTIVE COMPENSATION</w:t>
      </w:r>
    </w:p>
    <w:p>
      <w:pPr>
        <w:spacing w:after="0" w:line="154" w:lineRule="exact"/>
        <w:rPr>
          <w:sz w:val="20"/>
          <w:szCs w:val="20"/>
          <w:color w:val="auto"/>
        </w:rPr>
      </w:pPr>
    </w:p>
    <w:p>
      <w:pPr>
        <w:ind w:left="20" w:right="159"/>
        <w:spacing w:after="0" w:line="291" w:lineRule="auto"/>
        <w:rPr>
          <w:sz w:val="20"/>
          <w:szCs w:val="20"/>
          <w:color w:val="auto"/>
        </w:rPr>
      </w:pPr>
      <w:r>
        <w:rPr>
          <w:rFonts w:ascii="Times New Roman" w:cs="Times New Roman" w:eastAsia="Times New Roman" w:hAnsi="Times New Roman"/>
          <w:sz w:val="11"/>
          <w:szCs w:val="11"/>
          <w:color w:val="auto"/>
        </w:rPr>
        <w:t>Pursuant to Section 951 of the Dodd-Frank Wall Street Reform and Consumer Protection Act of 2010, as set forth in Section 14A(a) of the Exchange Act, we are asking Calavo’s shareholders to vote to approve, on an advisory, non-binding basis, the compensation of our named executive officers as disclosed in this proxy statement in accordance with SEC rules. At the 2018 Annual Meeting of shareholders, the shareholders approved an advisory measure that the shareholder advisory votes on executive compensation be held on an annual basis. The Board determined to follow the shareholders’ recommendations and to include an annual shareholder advisory vote on the compensation of Calavo’s named executive officers.</w:t>
      </w:r>
    </w:p>
    <w:p>
      <w:pPr>
        <w:spacing w:after="0" w:line="107" w:lineRule="exact"/>
        <w:rPr>
          <w:sz w:val="20"/>
          <w:szCs w:val="20"/>
          <w:color w:val="auto"/>
        </w:rPr>
      </w:pPr>
    </w:p>
    <w:p>
      <w:pPr>
        <w:ind w:left="20" w:right="139"/>
        <w:spacing w:after="0" w:line="300" w:lineRule="auto"/>
        <w:rPr>
          <w:sz w:val="20"/>
          <w:szCs w:val="20"/>
          <w:color w:val="auto"/>
        </w:rPr>
      </w:pPr>
      <w:r>
        <w:rPr>
          <w:rFonts w:ascii="Times New Roman" w:cs="Times New Roman" w:eastAsia="Times New Roman" w:hAnsi="Times New Roman"/>
          <w:sz w:val="11"/>
          <w:szCs w:val="11"/>
          <w:color w:val="auto"/>
        </w:rPr>
        <w:t>Calavo has a "pay-for-performance" philosophy that forms the foundation of all decisions regarding compensation of Calavo’s named executive officers. This compensation philosophy, and the program structure approved by the Compensation Committee, is central to Calavo’s ability to attract, retain and motivate individuals who can achieve superior financial results and significant growth. Please refer to "Executive Compensation—Compensation Discussion and Analysis" for an overview of the compensation of Calavo’s named executive officers.</w:t>
      </w:r>
    </w:p>
    <w:p>
      <w:pPr>
        <w:spacing w:after="0" w:line="102"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This vote is not intended to address any specific item of compensation, but rather the overall compensation of our named executive officers and the policies and practices described in this proxy statement. Accordingly, we are asking shareholders to approve the following resolution:</w:t>
      </w:r>
    </w:p>
    <w:p>
      <w:pPr>
        <w:spacing w:after="0" w:line="111" w:lineRule="exact"/>
        <w:rPr>
          <w:sz w:val="20"/>
          <w:szCs w:val="20"/>
          <w:color w:val="auto"/>
        </w:rPr>
      </w:pPr>
    </w:p>
    <w:p>
      <w:pPr>
        <w:ind w:left="460" w:right="79"/>
        <w:spacing w:after="0" w:line="279" w:lineRule="auto"/>
        <w:rPr>
          <w:sz w:val="20"/>
          <w:szCs w:val="20"/>
          <w:color w:val="auto"/>
        </w:rPr>
      </w:pPr>
      <w:r>
        <w:rPr>
          <w:rFonts w:ascii="Times New Roman" w:cs="Times New Roman" w:eastAsia="Times New Roman" w:hAnsi="Times New Roman"/>
          <w:sz w:val="12"/>
          <w:szCs w:val="12"/>
          <w:color w:val="auto"/>
        </w:rPr>
        <w:t>RESOLVED, that the compensation paid to the named executive officers of Calavo Growers, Inc., as disclosed in the 2023 proxy statement of Calavo Growers, Inc., pursuant to Item 402 of SEC Regulation S-K, including the Compensation Discussion and Analysis, compensation tables and narrative discussion, hereby is approved.</w:t>
      </w:r>
    </w:p>
    <w:p>
      <w:pPr>
        <w:spacing w:after="0" w:line="111" w:lineRule="exact"/>
        <w:rPr>
          <w:sz w:val="20"/>
          <w:szCs w:val="20"/>
          <w:color w:val="auto"/>
        </w:rPr>
      </w:pPr>
    </w:p>
    <w:p>
      <w:pPr>
        <w:jc w:val="both"/>
        <w:ind w:left="20" w:right="179"/>
        <w:spacing w:after="0" w:line="265" w:lineRule="auto"/>
        <w:rPr>
          <w:sz w:val="20"/>
          <w:szCs w:val="20"/>
          <w:color w:val="auto"/>
        </w:rPr>
      </w:pPr>
      <w:r>
        <w:rPr>
          <w:rFonts w:ascii="Times New Roman" w:cs="Times New Roman" w:eastAsia="Times New Roman" w:hAnsi="Times New Roman"/>
          <w:sz w:val="12"/>
          <w:szCs w:val="12"/>
          <w:color w:val="auto"/>
        </w:rPr>
        <w:t>This vote is advisory and therefore is not binding on Calavo, the Compensation Committee of the Board, or the Board. However, the Board and the Compensation Committee value the opinions of Calavo’s shareholders and to the extent there is any significant vote against the named executive officer compensation as disclosed in this proxy statement, we will consider those shareholders' concerns, and the Compensation Committee will evaluate whether any actions are necessary to address those concerns.</w:t>
      </w:r>
    </w:p>
    <w:p>
      <w:pPr>
        <w:spacing w:after="0" w:line="119" w:lineRule="exact"/>
        <w:rPr>
          <w:sz w:val="20"/>
          <w:szCs w:val="20"/>
          <w:color w:val="auto"/>
        </w:rPr>
      </w:pPr>
    </w:p>
    <w:p>
      <w:pPr>
        <w:ind w:left="20" w:right="359"/>
        <w:spacing w:after="0" w:line="279" w:lineRule="auto"/>
        <w:rPr>
          <w:sz w:val="20"/>
          <w:szCs w:val="20"/>
          <w:color w:val="auto"/>
        </w:rPr>
      </w:pPr>
      <w:r>
        <w:rPr>
          <w:rFonts w:ascii="Times New Roman" w:cs="Times New Roman" w:eastAsia="Times New Roman" w:hAnsi="Times New Roman"/>
          <w:sz w:val="12"/>
          <w:szCs w:val="12"/>
          <w:color w:val="auto"/>
        </w:rPr>
        <w:t>The affirmative vote of a majority of the shares of Calavo common stock present in person or represented by proxy and voting on the proposal at the Annual Meeting is required for advisory approval of this proposal.</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0" w:lineRule="exact"/>
        <w:rPr>
          <w:sz w:val="20"/>
          <w:szCs w:val="20"/>
          <w:color w:val="auto"/>
        </w:rPr>
      </w:pPr>
    </w:p>
    <w:p>
      <w:pPr>
        <w:ind w:left="20" w:right="259"/>
        <w:spacing w:after="0" w:line="286" w:lineRule="auto"/>
        <w:rPr>
          <w:sz w:val="20"/>
          <w:szCs w:val="20"/>
          <w:color w:val="auto"/>
        </w:rPr>
      </w:pPr>
      <w:r>
        <w:rPr>
          <w:rFonts w:ascii="Times New Roman" w:cs="Times New Roman" w:eastAsia="Times New Roman" w:hAnsi="Times New Roman"/>
          <w:sz w:val="12"/>
          <w:szCs w:val="12"/>
          <w:b w:val="1"/>
          <w:bCs w:val="1"/>
          <w:color w:val="auto"/>
        </w:rPr>
        <w:t>The Board of Directors unanimously recommends a vote “FOR” the approval of the compensation of Calavo’s named executive officers as disclosed in this proxy statement pursuant to the compensation disclosure rules of the SEC.</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b w:val="1"/>
          <w:bCs w:val="1"/>
          <w:color w:val="auto"/>
        </w:rPr>
        <w:t>COMMON STOCK OWNERSHIP OF CERTAIN BENEFICIAL OWNERS AND MANAGEMENT</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sets forth information, as of January 31, 2023, concerning beneficial ownership by:</w:t>
      </w:r>
    </w:p>
    <w:p>
      <w:pPr>
        <w:spacing w:after="0" w:line="150" w:lineRule="exact"/>
        <w:rPr>
          <w:sz w:val="20"/>
          <w:szCs w:val="20"/>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of 5% or more of our common stock;</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Calavo directors and nominees and each of the executive officers named below in the Summary Compensation Table; and</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Current directors and Calavo executive officers as a group.</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information provided in the table is based on Calavo's records, information filed with the SEC and information provided to Calavo.</w:t>
      </w:r>
    </w:p>
    <w:p>
      <w:pPr>
        <w:spacing w:after="0" w:line="150" w:lineRule="exact"/>
        <w:rPr>
          <w:sz w:val="20"/>
          <w:szCs w:val="20"/>
          <w:color w:val="auto"/>
        </w:rPr>
      </w:pPr>
    </w:p>
    <w:p>
      <w:pPr>
        <w:ind w:left="20" w:right="179"/>
        <w:spacing w:after="0" w:line="260" w:lineRule="auto"/>
        <w:rPr>
          <w:sz w:val="20"/>
          <w:szCs w:val="20"/>
          <w:color w:val="auto"/>
        </w:rPr>
      </w:pPr>
      <w:r>
        <w:rPr>
          <w:rFonts w:ascii="Times New Roman" w:cs="Times New Roman" w:eastAsia="Times New Roman" w:hAnsi="Times New Roman"/>
          <w:sz w:val="12"/>
          <w:szCs w:val="12"/>
          <w:color w:val="auto"/>
        </w:rPr>
        <w:t>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power or investment power and also any shares that the entity or individual has the right to acquire (within 60 days) through the exercise of any stock option or other right. Unless otherwise indicated, each person has sole voting and investment power (or shares such powers with his or her spouse) with respect to the shares set forth in the following table.</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Shares of Common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Percent of Common</w:t>
            </w:r>
          </w:p>
        </w:tc>
        <w:tc>
          <w:tcPr>
            <w:tcW w:w="0" w:type="dxa"/>
            <w:vAlign w:val="bottom"/>
          </w:tcPr>
          <w:p>
            <w:pPr>
              <w:spacing w:after="0"/>
              <w:rPr>
                <w:sz w:val="1"/>
                <w:szCs w:val="1"/>
                <w:color w:val="auto"/>
              </w:rPr>
            </w:pPr>
          </w:p>
        </w:tc>
      </w:tr>
      <w:tr>
        <w:trPr>
          <w:trHeight w:val="99"/>
        </w:trPr>
        <w:tc>
          <w:tcPr>
            <w:tcW w:w="5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Stock Beneficially</w:t>
            </w:r>
          </w:p>
        </w:tc>
        <w:tc>
          <w:tcPr>
            <w:tcW w:w="15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6"/>
              </w:rPr>
              <w:t>Stock Beneficially</w:t>
            </w:r>
          </w:p>
        </w:tc>
        <w:tc>
          <w:tcPr>
            <w:tcW w:w="0" w:type="dxa"/>
            <w:vAlign w:val="bottom"/>
          </w:tcPr>
          <w:p>
            <w:pPr>
              <w:spacing w:after="0"/>
              <w:rPr>
                <w:sz w:val="1"/>
                <w:szCs w:val="1"/>
                <w:color w:val="auto"/>
              </w:rPr>
            </w:pPr>
          </w:p>
        </w:tc>
      </w:tr>
      <w:tr>
        <w:trPr>
          <w:trHeight w:val="99"/>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 Address of Beneficial Owner (1)</w:t>
            </w:r>
          </w:p>
        </w:tc>
        <w:tc>
          <w:tcPr>
            <w:tcW w:w="13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Owned as of</w:t>
            </w:r>
          </w:p>
        </w:tc>
        <w:tc>
          <w:tcPr>
            <w:tcW w:w="15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Owned as of</w:t>
            </w:r>
          </w:p>
        </w:tc>
        <w:tc>
          <w:tcPr>
            <w:tcW w:w="0" w:type="dxa"/>
            <w:vAlign w:val="bottom"/>
          </w:tcPr>
          <w:p>
            <w:pPr>
              <w:spacing w:after="0"/>
              <w:rPr>
                <w:sz w:val="1"/>
                <w:szCs w:val="1"/>
                <w:color w:val="auto"/>
              </w:rPr>
            </w:pPr>
          </w:p>
        </w:tc>
      </w:tr>
      <w:tr>
        <w:trPr>
          <w:trHeight w:val="115"/>
        </w:trPr>
        <w:tc>
          <w:tcPr>
            <w:tcW w:w="6080" w:type="dxa"/>
            <w:vAlign w:val="bottom"/>
            <w:gridSpan w:val="2"/>
            <w:vMerge w:val="continue"/>
          </w:tcPr>
          <w:p>
            <w:pPr>
              <w:spacing w:after="0"/>
              <w:rPr>
                <w:sz w:val="10"/>
                <w:szCs w:val="1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January 31, 2023</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January 31, 2023</w:t>
            </w:r>
          </w:p>
        </w:tc>
        <w:tc>
          <w:tcPr>
            <w:tcW w:w="0" w:type="dxa"/>
            <w:vAlign w:val="bottom"/>
          </w:tcPr>
          <w:p>
            <w:pPr>
              <w:spacing w:after="0"/>
              <w:rPr>
                <w:sz w:val="1"/>
                <w:szCs w:val="1"/>
                <w:color w:val="auto"/>
              </w:rPr>
            </w:pPr>
          </w:p>
        </w:tc>
      </w:tr>
      <w:tr>
        <w:trPr>
          <w:trHeight w:val="133"/>
        </w:trPr>
        <w:tc>
          <w:tcPr>
            <w:tcW w:w="5900" w:type="dxa"/>
            <w:vAlign w:val="bottom"/>
            <w:tcBorders>
              <w:top w:val="single" w:sz="8" w:color="auto"/>
            </w:tcBorders>
            <w:shd w:val="clear" w:color="auto" w:fill="CCFFEE"/>
          </w:tcPr>
          <w:p>
            <w:pPr>
              <w:spacing w:after="0" w:line="133" w:lineRule="exact"/>
              <w:rPr>
                <w:sz w:val="20"/>
                <w:szCs w:val="20"/>
                <w:color w:val="auto"/>
              </w:rPr>
            </w:pPr>
            <w:r>
              <w:rPr>
                <w:rFonts w:ascii="Times New Roman" w:cs="Times New Roman" w:eastAsia="Times New Roman" w:hAnsi="Times New Roman"/>
                <w:sz w:val="12"/>
                <w:szCs w:val="12"/>
                <w:color w:val="auto"/>
              </w:rPr>
              <w:t>BlackRock Inc(2)</w:t>
            </w:r>
          </w:p>
        </w:tc>
        <w:tc>
          <w:tcPr>
            <w:tcW w:w="180" w:type="dxa"/>
            <w:vAlign w:val="bottom"/>
            <w:tcBorders>
              <w:top w:val="single" w:sz="8" w:color="CCFFEE"/>
            </w:tcBorders>
            <w:shd w:val="clear" w:color="auto" w:fill="CCFFEE"/>
          </w:tcPr>
          <w:p>
            <w:pPr>
              <w:spacing w:after="0"/>
              <w:rPr>
                <w:sz w:val="11"/>
                <w:szCs w:val="11"/>
                <w:color w:val="auto"/>
              </w:rPr>
            </w:pPr>
          </w:p>
        </w:tc>
        <w:tc>
          <w:tcPr>
            <w:tcW w:w="120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2,862,891</w:t>
            </w:r>
          </w:p>
        </w:tc>
        <w:tc>
          <w:tcPr>
            <w:tcW w:w="180" w:type="dxa"/>
            <w:vAlign w:val="bottom"/>
            <w:tcBorders>
              <w:top w:val="single" w:sz="8" w:color="CCFFEE"/>
            </w:tcBorders>
            <w:shd w:val="clear" w:color="auto" w:fill="CCFFEE"/>
          </w:tcPr>
          <w:p>
            <w:pPr>
              <w:spacing w:after="0"/>
              <w:rPr>
                <w:sz w:val="11"/>
                <w:szCs w:val="11"/>
                <w:color w:val="auto"/>
              </w:rPr>
            </w:pPr>
          </w:p>
        </w:tc>
        <w:tc>
          <w:tcPr>
            <w:tcW w:w="134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16.1</w:t>
            </w:r>
          </w:p>
        </w:tc>
        <w:tc>
          <w:tcPr>
            <w:tcW w:w="180" w:type="dxa"/>
            <w:vAlign w:val="bottom"/>
            <w:tcBorders>
              <w:top w:val="single" w:sz="8" w:color="CCFFEE"/>
            </w:tcBorders>
            <w:shd w:val="clear" w:color="auto" w:fill="CCFFEE"/>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Vanguard Group(3)</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1,457,354</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Nuance Investments(4)</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1,281,074</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 directors and executive officers as a group (15 persons)</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621,705</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J. Link Leavens(5)</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369,042</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John M. Hunt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40,042</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Steven Hollister</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34,702</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33,981</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James Helin</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29,792</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A. DiGregorio(6)</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28,042</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Donald M. Sanders</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24,179</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Marc L. Brown</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21,292</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Kathleen M. Holmgren(7)</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15,542</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Robert Wedin</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7,948</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Farha Aslam</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7,792</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Adriana Mendizabal</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6,292</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3,059</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Mariela Matute</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Helen Kurtz</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Shawn Munsell</w:t>
            </w: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13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FFE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Danny Dumas</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142875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111" w:lineRule="exact"/>
        <w:rPr>
          <w:sz w:val="20"/>
          <w:szCs w:val="20"/>
          <w:color w:val="auto"/>
        </w:rPr>
      </w:pPr>
    </w:p>
    <w:p>
      <w:pPr>
        <w:ind w:left="200" w:hanging="185"/>
        <w:spacing w:after="0"/>
        <w:tabs>
          <w:tab w:leader="none" w:pos="2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0"/>
          <w:szCs w:val="10"/>
          <w:color w:val="auto"/>
        </w:rPr>
        <w:t>Less than 1.0%.</w:t>
      </w:r>
    </w:p>
    <w:p>
      <w:pPr>
        <w:spacing w:after="0" w:line="87" w:lineRule="exact"/>
        <w:rPr>
          <w:sz w:val="20"/>
          <w:szCs w:val="20"/>
          <w:color w:val="auto"/>
        </w:rPr>
      </w:pPr>
    </w:p>
    <w:p>
      <w:pPr>
        <w:ind w:left="240" w:hanging="225"/>
        <w:spacing w:after="0"/>
        <w:tabs>
          <w:tab w:leader="none" w:pos="24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Unless otherwise indicated, the address of each individual is 1141-A Cummings Road, Santa Paula, California 93060.</w:t>
      </w:r>
    </w:p>
    <w:p>
      <w:pPr>
        <w:ind w:left="240" w:right="179" w:hanging="225"/>
        <w:spacing w:after="0" w:line="221" w:lineRule="auto"/>
        <w:tabs>
          <w:tab w:leader="none" w:pos="24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address of BlackRock, Inc. is 40 East 52</w:t>
      </w:r>
      <w:r>
        <w:rPr>
          <w:rFonts w:ascii="Times New Roman" w:cs="Times New Roman" w:eastAsia="Times New Roman" w:hAnsi="Times New Roman"/>
          <w:sz w:val="7"/>
          <w:szCs w:val="7"/>
          <w:color w:val="auto"/>
        </w:rPr>
        <w:t>nd</w:t>
      </w:r>
      <w:r>
        <w:rPr>
          <w:rFonts w:ascii="Times New Roman" w:cs="Times New Roman" w:eastAsia="Times New Roman" w:hAnsi="Times New Roman"/>
          <w:sz w:val="10"/>
          <w:szCs w:val="10"/>
          <w:color w:val="auto"/>
        </w:rPr>
        <w:t xml:space="preserve"> Street, New York, New York 10022. This information is based upon Schedules 13G filed by BlackRock, Inc. and may not reflect the current number of shares of common stock held by BlackRock, Inc.</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40" w:right="119" w:hanging="225"/>
        <w:spacing w:after="0" w:line="217" w:lineRule="auto"/>
        <w:tabs>
          <w:tab w:leader="none" w:pos="24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address of The Vanguard Group is 100 Vanguard Blvd., Malvern, PA 19355. This information is based upon Schedules 13G filed by The Vanguard Group and may not reflect the current number of shares of common stock held by The Vanguard Group.</w:t>
      </w:r>
    </w:p>
    <w:p>
      <w:pPr>
        <w:ind w:left="240" w:right="139" w:hanging="225"/>
        <w:spacing w:after="0" w:line="206" w:lineRule="auto"/>
        <w:tabs>
          <w:tab w:leader="none" w:pos="24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address of Nuance Investments is 4900 Main Street, Suite 220, Kansas City, MO 64112. This information is based upon Schedules 13G filed by Nuance Investments with the SEC and may not reflect the current number of shares of common stock held by Nuance Investments.</w:t>
      </w:r>
    </w:p>
    <w:p>
      <w:pPr>
        <w:ind w:left="240" w:hanging="225"/>
        <w:spacing w:after="0" w:line="206" w:lineRule="auto"/>
        <w:tabs>
          <w:tab w:leader="none" w:pos="24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282,572 shares held by Mr. Leavens that are owned of record by partnerships of which Mr. Leavens is a partner.</w:t>
      </w:r>
    </w:p>
    <w:p>
      <w:pPr>
        <w:ind w:left="240" w:right="159" w:hanging="225"/>
        <w:spacing w:after="0" w:line="206" w:lineRule="auto"/>
        <w:tabs>
          <w:tab w:leader="none" w:pos="24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2,000 shares that may be acquired upon the exercise of outstanding stock options. Mr. DiGregorio has pledged 18,250 shares as security in a margin account. This pledge was placed prior to Calavo adopting its anti-pledging policy in 2021.</w:t>
      </w:r>
    </w:p>
    <w:p>
      <w:pPr>
        <w:ind w:left="240" w:hanging="225"/>
        <w:spacing w:after="0" w:line="236" w:lineRule="auto"/>
        <w:tabs>
          <w:tab w:leader="none" w:pos="24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10,000 shares that may be acquired upon the exercise of outstanding stock options.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ind w:left="20" w:right="119"/>
        <w:spacing w:after="0" w:line="256" w:lineRule="auto"/>
        <w:rPr>
          <w:sz w:val="20"/>
          <w:szCs w:val="20"/>
          <w:color w:val="auto"/>
        </w:rPr>
      </w:pPr>
      <w:r>
        <w:rPr>
          <w:rFonts w:ascii="Times New Roman" w:cs="Times New Roman" w:eastAsia="Times New Roman" w:hAnsi="Times New Roman"/>
          <w:sz w:val="12"/>
          <w:szCs w:val="12"/>
          <w:color w:val="auto"/>
        </w:rPr>
        <w:t>Section 16(a) of the Securities Exchange Act of 1934, as amended, requires our directors, executive officers and holders of more than 10% of our common stock to file with the SEC reports regarding their ownership and changes in ownership of our securities. We believe that, during fiscal year 2022, our directors, executive officers and shareholders owning more than 10% of our outstanding common stock (“10% shareholders”) complied with all Section 16(a) filing requirements, with the following exceptions: for fiscal year 2022, Scott Van Der Kar (late on one Form 4 representing two transactions), Mark Lodge (late on one Form 4 representing one transaction), Robert Wedin (late on one Form 4 representing one transaction), and Farha Aslam (late on one Form 4 representing one transaction). In making this statement, we have relied upon our examination of the copies of Forms 3, 4 and 5, and amendments thereto, provided to us and the written representations of our directors, executive officers and 10% shareholders.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TRANSACTIONS WITH RELATED PERSONS</w:t>
      </w:r>
    </w:p>
    <w:p>
      <w:pPr>
        <w:spacing w:after="0" w:line="154" w:lineRule="exact"/>
        <w:rPr>
          <w:sz w:val="20"/>
          <w:szCs w:val="20"/>
          <w:color w:val="auto"/>
        </w:rPr>
      </w:pPr>
    </w:p>
    <w:p>
      <w:pPr>
        <w:jc w:val="both"/>
        <w:ind w:left="20" w:right="439"/>
        <w:spacing w:after="0" w:line="327" w:lineRule="auto"/>
        <w:rPr>
          <w:sz w:val="20"/>
          <w:szCs w:val="20"/>
          <w:color w:val="auto"/>
        </w:rPr>
      </w:pPr>
      <w:r>
        <w:rPr>
          <w:rFonts w:ascii="Times New Roman" w:cs="Times New Roman" w:eastAsia="Times New Roman" w:hAnsi="Times New Roman"/>
          <w:sz w:val="11"/>
          <w:szCs w:val="11"/>
          <w:color w:val="auto"/>
        </w:rPr>
        <w:t>Calavo has adopted a written policy for approval of transactions between Calavo and its directors, director nominees, executive officers, beneficial owners of more than 5% of our common stock, and their respective immediate family members where the amount involved in the transaction exceeds or is expected to exceed $120,000 in a single calendar year.</w:t>
      </w:r>
    </w:p>
    <w:p>
      <w:pPr>
        <w:spacing w:after="0" w:line="87" w:lineRule="exact"/>
        <w:rPr>
          <w:sz w:val="20"/>
          <w:szCs w:val="20"/>
          <w:color w:val="auto"/>
        </w:rPr>
      </w:pPr>
    </w:p>
    <w:p>
      <w:pPr>
        <w:ind w:left="20" w:right="299"/>
        <w:spacing w:after="0" w:line="265" w:lineRule="auto"/>
        <w:rPr>
          <w:sz w:val="20"/>
          <w:szCs w:val="20"/>
          <w:color w:val="auto"/>
        </w:rPr>
      </w:pPr>
      <w:r>
        <w:rPr>
          <w:rFonts w:ascii="Times New Roman" w:cs="Times New Roman" w:eastAsia="Times New Roman" w:hAnsi="Times New Roman"/>
          <w:sz w:val="12"/>
          <w:szCs w:val="12"/>
          <w:color w:val="auto"/>
        </w:rPr>
        <w:t>The policy provides that the Audit Committee reviews transactions subject to the policy and decides whether or not to approve or ratify those transactions. In doing so, the Audit Committee determines whether the transaction is in the best interests of Calavo. In making that determination, the Audit Committee takes into account, among other factors it deems appropriate:</w:t>
      </w:r>
    </w:p>
    <w:p>
      <w:pPr>
        <w:spacing w:after="0" w:line="119" w:lineRule="exact"/>
        <w:rPr>
          <w:sz w:val="20"/>
          <w:szCs w:val="20"/>
          <w:color w:val="auto"/>
        </w:rPr>
      </w:pPr>
    </w:p>
    <w:p>
      <w:pPr>
        <w:ind w:left="440" w:hanging="209"/>
        <w:spacing w:after="0"/>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of the related person's interest in the transaction;</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transaction is on terms generally available to an unaffiliated third-party under the same or similar circumstances;</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benefits to Calavo;</w:t>
      </w:r>
    </w:p>
    <w:p>
      <w:pPr>
        <w:spacing w:after="0" w:line="6" w:lineRule="exact"/>
        <w:rPr>
          <w:rFonts w:ascii="Times New Roman" w:cs="Times New Roman" w:eastAsia="Times New Roman" w:hAnsi="Times New Roman"/>
          <w:sz w:val="12"/>
          <w:szCs w:val="12"/>
          <w:color w:val="auto"/>
        </w:rPr>
      </w:pPr>
    </w:p>
    <w:p>
      <w:pPr>
        <w:ind w:left="440" w:right="99" w:hanging="209"/>
        <w:spacing w:after="0" w:line="250" w:lineRule="auto"/>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or potential impact on a director's independence in the event the related party is a director, an immediate family member of a director or an entity in which a director is a partner, shareholder or executive officer;</w:t>
      </w:r>
    </w:p>
    <w:p>
      <w:pPr>
        <w:ind w:left="440" w:hanging="209"/>
        <w:spacing w:after="0"/>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sources for comparable products or services; and</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transaction.</w:t>
      </w:r>
    </w:p>
    <w:p>
      <w:pPr>
        <w:spacing w:after="0" w:line="139" w:lineRule="exact"/>
        <w:rPr>
          <w:sz w:val="20"/>
          <w:szCs w:val="20"/>
          <w:color w:val="auto"/>
        </w:rPr>
      </w:pPr>
    </w:p>
    <w:p>
      <w:pPr>
        <w:ind w:left="20" w:right="199"/>
        <w:spacing w:after="0" w:line="265" w:lineRule="auto"/>
        <w:rPr>
          <w:sz w:val="20"/>
          <w:szCs w:val="20"/>
          <w:color w:val="auto"/>
        </w:rPr>
      </w:pPr>
      <w:r>
        <w:rPr>
          <w:rFonts w:ascii="Times New Roman" w:cs="Times New Roman" w:eastAsia="Times New Roman" w:hAnsi="Times New Roman"/>
          <w:sz w:val="12"/>
          <w:szCs w:val="12"/>
          <w:color w:val="auto"/>
        </w:rPr>
        <w:t>The Audit Committee has delegated authority to the chair of the Audit Committee to pre-approve or ratify transactions where the aggregate amount involved is expected to be less than $200,000. A summary of any new transactions pre-approved by the chair is provided to the full Board of Directors for its review in connection with the Board’s regularly scheduled meetings.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Audit Committee has adopted standing pre-approvals under the policy for limited transactions with related persons. Pre-approved transactions include:</w:t>
      </w:r>
    </w:p>
    <w:p>
      <w:pPr>
        <w:spacing w:after="0" w:line="150" w:lineRule="exact"/>
        <w:rPr>
          <w:sz w:val="20"/>
          <w:szCs w:val="20"/>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 compensation approved by the Board or the Compensation Committee;</w:t>
      </w:r>
    </w:p>
    <w:p>
      <w:pPr>
        <w:spacing w:after="0" w:line="78" w:lineRule="exact"/>
        <w:rPr>
          <w:rFonts w:ascii="Times New Roman" w:cs="Times New Roman" w:eastAsia="Times New Roman" w:hAnsi="Times New Roman"/>
          <w:sz w:val="12"/>
          <w:szCs w:val="12"/>
          <w:color w:val="auto"/>
        </w:rPr>
      </w:pPr>
    </w:p>
    <w:p>
      <w:pPr>
        <w:ind w:left="440" w:right="199" w:hanging="209"/>
        <w:spacing w:after="0" w:line="279" w:lineRule="auto"/>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valued at the lesser than $200,000 or 2% of the other company's consolidated gross revenues, where the related person has an interest only as an employee (other than executive officer), director or beneficial holder of less than 10% of the other company's shares;</w:t>
      </w:r>
    </w:p>
    <w:p>
      <w:pPr>
        <w:spacing w:after="0" w:line="39"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where all shareholders receive proportional benefits; and</w:t>
      </w:r>
    </w:p>
    <w:p>
      <w:pPr>
        <w:spacing w:after="0" w:line="78"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Avocados delivered to us from our directors pursuant to our customary marketing agreements, as discussed below.</w:t>
      </w:r>
    </w:p>
    <w:p>
      <w:pPr>
        <w:spacing w:after="0" w:line="141"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Two directors are controlling shareholders, partners, executive officers and/or employees of entities that marketed in excess of $120,000 per year of avocados through us pursuant to customary marketing agreements during the 2022 fiscal year. During the fiscal year ended October 31, 2022, we paid the following amounts to each of those two directors or to an entity affiliated with the director with respect to avocados marketed through us: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5"/>
              </w:rPr>
              <w:t>Amounts paid to</w:t>
            </w:r>
          </w:p>
        </w:tc>
        <w:tc>
          <w:tcPr>
            <w:tcW w:w="0" w:type="dxa"/>
            <w:vAlign w:val="bottom"/>
          </w:tcPr>
          <w:p>
            <w:pPr>
              <w:spacing w:after="0"/>
              <w:rPr>
                <w:sz w:val="1"/>
                <w:szCs w:val="1"/>
                <w:color w:val="auto"/>
              </w:rPr>
            </w:pPr>
          </w:p>
        </w:tc>
      </w:tr>
      <w:tr>
        <w:trPr>
          <w:trHeight w:val="99"/>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jc w:val="center"/>
              <w:ind w:right="188"/>
              <w:spacing w:after="0" w:line="99" w:lineRule="exact"/>
              <w:rPr>
                <w:sz w:val="20"/>
                <w:szCs w:val="20"/>
                <w:color w:val="auto"/>
              </w:rPr>
            </w:pPr>
            <w:r>
              <w:rPr>
                <w:rFonts w:ascii="Times New Roman" w:cs="Times New Roman" w:eastAsia="Times New Roman" w:hAnsi="Times New Roman"/>
                <w:sz w:val="10"/>
                <w:szCs w:val="10"/>
                <w:b w:val="1"/>
                <w:bCs w:val="1"/>
                <w:color w:val="auto"/>
                <w:w w:val="93"/>
              </w:rPr>
              <w:t>director or affiliated</w:t>
            </w:r>
          </w:p>
        </w:tc>
        <w:tc>
          <w:tcPr>
            <w:tcW w:w="0" w:type="dxa"/>
            <w:vAlign w:val="bottom"/>
          </w:tcPr>
          <w:p>
            <w:pPr>
              <w:spacing w:after="0"/>
              <w:rPr>
                <w:sz w:val="1"/>
                <w:szCs w:val="1"/>
                <w:color w:val="auto"/>
              </w:rPr>
            </w:pPr>
          </w:p>
        </w:tc>
      </w:tr>
      <w:tr>
        <w:trPr>
          <w:trHeight w:val="99"/>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940" w:type="dxa"/>
            <w:vAlign w:val="bottom"/>
            <w:vMerge w:val="restart"/>
          </w:tcPr>
          <w:p>
            <w:pPr>
              <w:ind w:left="112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jc w:val="center"/>
              <w:ind w:right="188"/>
              <w:spacing w:after="0" w:line="99" w:lineRule="exact"/>
              <w:rPr>
                <w:sz w:val="20"/>
                <w:szCs w:val="20"/>
                <w:color w:val="auto"/>
              </w:rPr>
            </w:pPr>
            <w:r>
              <w:rPr>
                <w:rFonts w:ascii="Times New Roman" w:cs="Times New Roman" w:eastAsia="Times New Roman" w:hAnsi="Times New Roman"/>
                <w:sz w:val="10"/>
                <w:szCs w:val="10"/>
                <w:b w:val="1"/>
                <w:bCs w:val="1"/>
                <w:color w:val="auto"/>
                <w:w w:val="96"/>
              </w:rPr>
              <w:t>entity pursuant to</w:t>
            </w:r>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FF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0"/>
                <w:szCs w:val="10"/>
                <w:b w:val="1"/>
                <w:bCs w:val="1"/>
                <w:color w:val="auto"/>
                <w:w w:val="93"/>
              </w:rPr>
              <w:t>marketing agreements</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5280" w:type="dxa"/>
            <w:vAlign w:val="bottom"/>
            <w:gridSpan w:val="2"/>
            <w:shd w:val="clear" w:color="auto" w:fill="CCFFEE"/>
          </w:tcPr>
          <w:p>
            <w:pPr>
              <w:spacing w:after="0" w:line="133" w:lineRule="exact"/>
              <w:rPr>
                <w:sz w:val="20"/>
                <w:szCs w:val="20"/>
                <w:color w:val="auto"/>
              </w:rPr>
            </w:pPr>
            <w:r>
              <w:rPr>
                <w:rFonts w:ascii="Times New Roman" w:cs="Times New Roman" w:eastAsia="Times New Roman" w:hAnsi="Times New Roman"/>
                <w:sz w:val="12"/>
                <w:szCs w:val="12"/>
                <w:color w:val="auto"/>
              </w:rPr>
              <w:t>J. Link Leavens</w:t>
            </w:r>
          </w:p>
        </w:tc>
        <w:tc>
          <w:tcPr>
            <w:tcW w:w="180" w:type="dxa"/>
            <w:vAlign w:val="bottom"/>
            <w:shd w:val="clear" w:color="auto" w:fill="CCFFEE"/>
          </w:tcPr>
          <w:p>
            <w:pPr>
              <w:spacing w:after="0"/>
              <w:rPr>
                <w:sz w:val="11"/>
                <w:szCs w:val="11"/>
                <w:color w:val="auto"/>
              </w:rPr>
            </w:pPr>
          </w:p>
        </w:tc>
        <w:tc>
          <w:tcPr>
            <w:tcW w:w="220" w:type="dxa"/>
            <w:vAlign w:val="bottom"/>
            <w:shd w:val="clear" w:color="auto" w:fill="CCFFEE"/>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7,119,272</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Donald M. Sanders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135,422</w:t>
            </w:r>
          </w:p>
        </w:tc>
        <w:tc>
          <w:tcPr>
            <w:tcW w:w="0" w:type="dxa"/>
            <w:vAlign w:val="bottom"/>
          </w:tcPr>
          <w:p>
            <w:pPr>
              <w:spacing w:after="0"/>
              <w:rPr>
                <w:sz w:val="1"/>
                <w:szCs w:val="1"/>
                <w:color w:val="auto"/>
              </w:rPr>
            </w:pPr>
          </w:p>
        </w:tc>
      </w:tr>
      <w:tr>
        <w:trPr>
          <w:trHeight w:val="61"/>
        </w:trPr>
        <w:tc>
          <w:tcPr>
            <w:tcW w:w="9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We did not have any amounts due to Board members as of October 31, 2022.</w:t>
      </w:r>
    </w:p>
    <w:p>
      <w:pPr>
        <w:spacing w:after="0" w:line="141" w:lineRule="exact"/>
        <w:rPr>
          <w:sz w:val="20"/>
          <w:szCs w:val="20"/>
          <w:color w:val="auto"/>
        </w:rPr>
      </w:pPr>
    </w:p>
    <w:p>
      <w:pPr>
        <w:ind w:left="20" w:right="39" w:firstLine="173"/>
        <w:spacing w:after="0" w:line="265" w:lineRule="auto"/>
        <w:rPr>
          <w:sz w:val="20"/>
          <w:szCs w:val="20"/>
          <w:color w:val="auto"/>
        </w:rPr>
      </w:pPr>
      <w:r>
        <w:rPr>
          <w:rFonts w:ascii="Times New Roman" w:cs="Times New Roman" w:eastAsia="Times New Roman" w:hAnsi="Times New Roman"/>
          <w:sz w:val="12"/>
          <w:szCs w:val="12"/>
          <w:color w:val="auto"/>
        </w:rPr>
        <w:t>During fiscal years 2022, we received $0.6 million as dividend income from Limoneira. In addition, we lease office space from Limoneira for our corporate office. Rent to Limoneira amounted to approximately $0.3 million for fiscal years 2022. Harold Edwards, who resigned as a member of our Board of Directors in February 2022, is the Chief Executive Officer of Limoneira Company. In February 2022, Limoneira ended its marketing agreement with Calavo. Limoneira may still elect to market avocados through Calavo.</w:t>
      </w:r>
    </w:p>
    <w:p>
      <w:pPr>
        <w:spacing w:after="0" w:line="119" w:lineRule="exact"/>
        <w:rPr>
          <w:sz w:val="20"/>
          <w:szCs w:val="20"/>
          <w:color w:val="auto"/>
        </w:rPr>
      </w:pPr>
    </w:p>
    <w:p>
      <w:pPr>
        <w:ind w:left="20" w:right="219" w:firstLine="173"/>
        <w:spacing w:after="0" w:line="279" w:lineRule="auto"/>
        <w:rPr>
          <w:sz w:val="20"/>
          <w:szCs w:val="20"/>
          <w:color w:val="auto"/>
        </w:rPr>
      </w:pPr>
      <w:r>
        <w:rPr>
          <w:rFonts w:ascii="Times New Roman" w:cs="Times New Roman" w:eastAsia="Times New Roman" w:hAnsi="Times New Roman"/>
          <w:sz w:val="12"/>
          <w:szCs w:val="12"/>
          <w:color w:val="auto"/>
        </w:rPr>
        <w:t>In October 2022, we sold our entire investment of 1,677,299 shares of Limoneira common stock for gross proceeds of approximately $18.5 million. For the year ended October 31, 2022, we recorded losses of $8.6 million, in realized and unrealized net loss on Limoneira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09" w:lineRule="exact"/>
        <w:rPr>
          <w:sz w:val="20"/>
          <w:szCs w:val="20"/>
          <w:color w:val="auto"/>
        </w:rPr>
      </w:pPr>
    </w:p>
    <w:p>
      <w:pPr>
        <w:ind w:left="20" w:right="199"/>
        <w:spacing w:after="0" w:line="279" w:lineRule="auto"/>
        <w:rPr>
          <w:sz w:val="20"/>
          <w:szCs w:val="20"/>
          <w:color w:val="auto"/>
        </w:rPr>
      </w:pPr>
      <w:r>
        <w:rPr>
          <w:rFonts w:ascii="Times New Roman" w:cs="Times New Roman" w:eastAsia="Times New Roman" w:hAnsi="Times New Roman"/>
          <w:sz w:val="12"/>
          <w:szCs w:val="12"/>
          <w:color w:val="auto"/>
        </w:rPr>
        <w:t>This Compensation Discussion and Analysis explains the material elements of the compensation that was awarded to, earned by, or paid to each of our executive officers who is named below in the Summary Compensation Table during our 2022 fiscal year. Those executive officers are referred to as the “named executive officers.”</w:t>
      </w:r>
    </w:p>
    <w:p>
      <w:pPr>
        <w:spacing w:after="0" w:line="66"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At the 2022 Annual Meeting of the shareholders, shareholders approved by 96% of the shares voting on an advisory basis the compensation of the named executive officers of Calavo as disclosed in Calavo’s 2022 proxy statement. The Compensation Committee considers the results of this annual “Say on Pay” shareholder vote, together with the other factors discussed in this CD&amp;A, as it considers appropriate when it reviews and approves our compensation program and compensation packages provided to our named executive officers.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Governance Highlights</w:t>
      </w:r>
    </w:p>
    <w:p>
      <w:pPr>
        <w:spacing w:after="0" w:line="154"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We are committed to having strong governance practices with respect to our compensation programs, practices and procedures. We believe that these practices reinforce our emphasis on tying executive compensation to performance. The following chart highlights some of our governance practices with respect to executive compensation:</w:t>
      </w:r>
    </w:p>
    <w:p>
      <w:pPr>
        <w:spacing w:after="0" w:line="111" w:lineRule="exact"/>
        <w:rPr>
          <w:sz w:val="20"/>
          <w:szCs w:val="20"/>
          <w:color w:val="auto"/>
        </w:rPr>
      </w:pPr>
    </w:p>
    <w:tbl>
      <w:tblPr>
        <w:tblLayout w:type="fixed"/>
        <w:tblInd w:w="30" w:type="dxa"/>
        <w:tblCellMar>
          <w:top w:w="0" w:type="dxa"/>
          <w:left w:w="0" w:type="dxa"/>
          <w:bottom w:w="0" w:type="dxa"/>
          <w:right w:w="0" w:type="dxa"/>
        </w:tblCellMar>
      </w:tblPr>
      <w:tr>
        <w:trPr>
          <w:trHeight w:val="153"/>
        </w:trPr>
        <w:tc>
          <w:tcPr>
            <w:tcW w:w="4340" w:type="dxa"/>
            <w:vAlign w:val="bottom"/>
            <w:tcBorders>
              <w:top w:val="single" w:sz="8" w:color="auto"/>
              <w:left w:val="single" w:sz="8" w:color="auto"/>
              <w:bottom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12"/>
                <w:szCs w:val="12"/>
                <w:color w:val="auto"/>
              </w:rPr>
              <w:t>What We Do</w:t>
            </w:r>
          </w:p>
        </w:tc>
        <w:tc>
          <w:tcPr>
            <w:tcW w:w="4320" w:type="dxa"/>
            <w:vAlign w:val="bottom"/>
            <w:tcBorders>
              <w:top w:val="single" w:sz="8" w:color="auto"/>
              <w:bottom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2"/>
                <w:szCs w:val="12"/>
                <w:color w:val="auto"/>
              </w:rPr>
              <w:t>What We Do Not Do</w:t>
            </w:r>
          </w:p>
        </w:tc>
      </w:tr>
      <w:tr>
        <w:trPr>
          <w:trHeight w:val="176"/>
        </w:trPr>
        <w:tc>
          <w:tcPr>
            <w:tcW w:w="4340" w:type="dxa"/>
            <w:vAlign w:val="bottom"/>
            <w:tcBorders>
              <w:left w:val="single" w:sz="8" w:color="auto"/>
              <w:right w:val="single" w:sz="8" w:color="auto"/>
            </w:tcBorders>
          </w:tcPr>
          <w:p>
            <w:pPr>
              <w:ind w:left="28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Place a heavy emphasis on variable “at-risk” compensation</w:t>
            </w:r>
          </w:p>
        </w:tc>
        <w:tc>
          <w:tcPr>
            <w:tcW w:w="4320" w:type="dxa"/>
            <w:vAlign w:val="bottom"/>
            <w:tcBorders>
              <w:right w:val="single" w:sz="8" w:color="auto"/>
            </w:tcBorders>
          </w:tcPr>
          <w:p>
            <w:pPr>
              <w:ind w:left="28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significant perquisites</w:t>
            </w:r>
          </w:p>
        </w:tc>
      </w:tr>
      <w:tr>
        <w:trPr>
          <w:trHeight w:val="101"/>
        </w:trPr>
        <w:tc>
          <w:tcPr>
            <w:tcW w:w="4340" w:type="dxa"/>
            <w:vAlign w:val="bottom"/>
            <w:tcBorders>
              <w:left w:val="single" w:sz="8" w:color="auto"/>
              <w:bottom w:val="single" w:sz="8" w:color="auto"/>
              <w:right w:val="single" w:sz="8" w:color="auto"/>
            </w:tcBorders>
          </w:tcPr>
          <w:p>
            <w:pPr>
              <w:spacing w:after="0"/>
              <w:rPr>
                <w:sz w:val="8"/>
                <w:szCs w:val="8"/>
                <w:color w:val="auto"/>
              </w:rPr>
            </w:pPr>
          </w:p>
        </w:tc>
        <w:tc>
          <w:tcPr>
            <w:tcW w:w="4320" w:type="dxa"/>
            <w:vAlign w:val="bottom"/>
            <w:tcBorders>
              <w:bottom w:val="single" w:sz="8" w:color="auto"/>
              <w:right w:val="single" w:sz="8" w:color="auto"/>
            </w:tcBorders>
          </w:tcPr>
          <w:p>
            <w:pPr>
              <w:spacing w:after="0"/>
              <w:rPr>
                <w:sz w:val="8"/>
                <w:szCs w:val="8"/>
                <w:color w:val="auto"/>
              </w:rPr>
            </w:pPr>
          </w:p>
        </w:tc>
      </w:tr>
      <w:tr>
        <w:trPr>
          <w:trHeight w:val="122"/>
        </w:trPr>
        <w:tc>
          <w:tcPr>
            <w:tcW w:w="4340" w:type="dxa"/>
            <w:vAlign w:val="bottom"/>
            <w:tcBorders>
              <w:left w:val="single" w:sz="8" w:color="auto"/>
              <w:right w:val="single" w:sz="8" w:color="auto"/>
            </w:tcBorders>
          </w:tcPr>
          <w:p>
            <w:pPr>
              <w:ind w:left="280"/>
              <w:spacing w:after="0" w:line="122"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Cap annual incentive award opportunities at 200% of target levels</w:t>
            </w:r>
          </w:p>
        </w:tc>
        <w:tc>
          <w:tcPr>
            <w:tcW w:w="4320" w:type="dxa"/>
            <w:vAlign w:val="bottom"/>
            <w:tcBorders>
              <w:right w:val="single" w:sz="8" w:color="auto"/>
            </w:tcBorders>
          </w:tcPr>
          <w:p>
            <w:pPr>
              <w:ind w:left="280"/>
              <w:spacing w:after="0" w:line="122"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“single trigger” severance payments owing solely on account of the</w:t>
            </w:r>
          </w:p>
        </w:tc>
      </w:tr>
      <w:tr>
        <w:trPr>
          <w:trHeight w:val="155"/>
        </w:trPr>
        <w:tc>
          <w:tcPr>
            <w:tcW w:w="4340" w:type="dxa"/>
            <w:vAlign w:val="bottom"/>
            <w:tcBorders>
              <w:left w:val="single" w:sz="8" w:color="auto"/>
              <w:bottom w:val="single" w:sz="8" w:color="auto"/>
              <w:right w:val="single" w:sz="8" w:color="auto"/>
            </w:tcBorders>
          </w:tcPr>
          <w:p>
            <w:pPr>
              <w:spacing w:after="0"/>
              <w:rPr>
                <w:sz w:val="13"/>
                <w:szCs w:val="13"/>
                <w:color w:val="auto"/>
              </w:rPr>
            </w:pPr>
          </w:p>
        </w:tc>
        <w:tc>
          <w:tcPr>
            <w:tcW w:w="432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occurrence of a change of control event</w:t>
            </w:r>
          </w:p>
        </w:tc>
      </w:tr>
      <w:tr>
        <w:trPr>
          <w:trHeight w:val="122"/>
        </w:trPr>
        <w:tc>
          <w:tcPr>
            <w:tcW w:w="4340" w:type="dxa"/>
            <w:vAlign w:val="bottom"/>
            <w:tcBorders>
              <w:left w:val="single" w:sz="8" w:color="auto"/>
              <w:right w:val="single" w:sz="8" w:color="auto"/>
            </w:tcBorders>
          </w:tcPr>
          <w:p>
            <w:pPr>
              <w:ind w:left="280"/>
              <w:spacing w:after="0" w:line="122"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Maintain share ownership and retention guidelines for executives and</w:t>
            </w:r>
          </w:p>
        </w:tc>
        <w:tc>
          <w:tcPr>
            <w:tcW w:w="4320" w:type="dxa"/>
            <w:vAlign w:val="bottom"/>
            <w:tcBorders>
              <w:right w:val="single" w:sz="8" w:color="auto"/>
            </w:tcBorders>
          </w:tcPr>
          <w:p>
            <w:pPr>
              <w:ind w:left="280"/>
              <w:spacing w:after="0" w:line="122"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excise tax gross-ups upon a change in control</w:t>
            </w:r>
          </w:p>
        </w:tc>
      </w:tr>
      <w:tr>
        <w:trPr>
          <w:trHeight w:val="155"/>
        </w:trPr>
        <w:tc>
          <w:tcPr>
            <w:tcW w:w="43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directors</w:t>
            </w:r>
          </w:p>
        </w:tc>
        <w:tc>
          <w:tcPr>
            <w:tcW w:w="4320" w:type="dxa"/>
            <w:vAlign w:val="bottom"/>
            <w:tcBorders>
              <w:bottom w:val="single" w:sz="8" w:color="auto"/>
              <w:right w:val="single" w:sz="8" w:color="auto"/>
            </w:tcBorders>
          </w:tcPr>
          <w:p>
            <w:pPr>
              <w:spacing w:after="0"/>
              <w:rPr>
                <w:sz w:val="13"/>
                <w:szCs w:val="13"/>
                <w:color w:val="auto"/>
              </w:rPr>
            </w:pPr>
          </w:p>
        </w:tc>
      </w:tr>
      <w:tr>
        <w:trPr>
          <w:trHeight w:val="122"/>
        </w:trPr>
        <w:tc>
          <w:tcPr>
            <w:tcW w:w="4340" w:type="dxa"/>
            <w:vAlign w:val="bottom"/>
            <w:tcBorders>
              <w:left w:val="single" w:sz="8" w:color="auto"/>
              <w:right w:val="single" w:sz="8" w:color="auto"/>
            </w:tcBorders>
          </w:tcPr>
          <w:p>
            <w:pPr>
              <w:ind w:left="280"/>
              <w:spacing w:after="0" w:line="122"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Provide a 50/50 mix between performance-based equity awards and time-</w:t>
            </w:r>
          </w:p>
        </w:tc>
        <w:tc>
          <w:tcPr>
            <w:tcW w:w="4320" w:type="dxa"/>
            <w:vAlign w:val="bottom"/>
            <w:tcBorders>
              <w:right w:val="single" w:sz="8" w:color="auto"/>
            </w:tcBorders>
          </w:tcPr>
          <w:p>
            <w:pPr>
              <w:ind w:left="280"/>
              <w:spacing w:after="0" w:line="122"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stock option or stock appreciation rights (“SAR”) repricing without</w:t>
            </w:r>
          </w:p>
        </w:tc>
      </w:tr>
      <w:tr>
        <w:trPr>
          <w:trHeight w:val="155"/>
        </w:trPr>
        <w:tc>
          <w:tcPr>
            <w:tcW w:w="43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based equity awards</w:t>
            </w:r>
          </w:p>
        </w:tc>
        <w:tc>
          <w:tcPr>
            <w:tcW w:w="432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shareholder approval</w:t>
            </w:r>
          </w:p>
        </w:tc>
      </w:tr>
      <w:tr>
        <w:trPr>
          <w:trHeight w:val="133"/>
        </w:trPr>
        <w:tc>
          <w:tcPr>
            <w:tcW w:w="4340" w:type="dxa"/>
            <w:vAlign w:val="bottom"/>
            <w:tcBorders>
              <w:left w:val="single" w:sz="8" w:color="auto"/>
              <w:bottom w:val="single" w:sz="8" w:color="auto"/>
              <w:right w:val="single" w:sz="8" w:color="auto"/>
            </w:tcBorders>
          </w:tcPr>
          <w:p>
            <w:pPr>
              <w:ind w:left="280"/>
              <w:spacing w:after="0" w:line="133"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Utilize an independent compensation consulting firm</w:t>
            </w:r>
          </w:p>
        </w:tc>
        <w:tc>
          <w:tcPr>
            <w:tcW w:w="4320" w:type="dxa"/>
            <w:vAlign w:val="bottom"/>
            <w:tcBorders>
              <w:bottom w:val="single" w:sz="8" w:color="auto"/>
              <w:right w:val="single" w:sz="8" w:color="auto"/>
            </w:tcBorders>
          </w:tcPr>
          <w:p>
            <w:pPr>
              <w:spacing w:after="0"/>
              <w:rPr>
                <w:sz w:val="11"/>
                <w:szCs w:val="11"/>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54" w:lineRule="exact"/>
        <w:rPr>
          <w:sz w:val="20"/>
          <w:szCs w:val="20"/>
          <w:color w:val="auto"/>
        </w:rPr>
      </w:pPr>
    </w:p>
    <w:p>
      <w:pPr>
        <w:jc w:val="both"/>
        <w:ind w:left="20" w:right="79" w:firstLine="173"/>
        <w:spacing w:after="0" w:line="265" w:lineRule="auto"/>
        <w:rPr>
          <w:sz w:val="20"/>
          <w:szCs w:val="20"/>
          <w:color w:val="auto"/>
        </w:rPr>
      </w:pPr>
      <w:r>
        <w:rPr>
          <w:rFonts w:ascii="Times New Roman" w:cs="Times New Roman" w:eastAsia="Times New Roman" w:hAnsi="Times New Roman"/>
          <w:sz w:val="12"/>
          <w:szCs w:val="12"/>
          <w:color w:val="auto"/>
        </w:rPr>
        <w:t>The following table sets forth the name, age and position of individuals who hold positions as executive officers of Calavo as of February 27, 2023. There are no family relationships between any director or executive officer and any other director or executive officer of our company. Executive officers are elected by our board of directors and serve at the discretion of the board.</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140" w:type="dxa"/>
            <w:vAlign w:val="bottom"/>
          </w:tcPr>
          <w:p>
            <w:pPr>
              <w:spacing w:after="0"/>
              <w:rPr>
                <w:sz w:val="10"/>
                <w:szCs w:val="10"/>
                <w:color w:val="auto"/>
              </w:rPr>
            </w:pPr>
          </w:p>
        </w:tc>
        <w:tc>
          <w:tcPr>
            <w:tcW w:w="4940" w:type="dxa"/>
            <w:vAlign w:val="bottom"/>
          </w:tcPr>
          <w:p>
            <w:pPr>
              <w:ind w:left="230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33"/>
        </w:trPr>
        <w:tc>
          <w:tcPr>
            <w:tcW w:w="20" w:type="dxa"/>
            <w:vAlign w:val="bottom"/>
          </w:tcPr>
          <w:p>
            <w:pPr>
              <w:spacing w:after="0"/>
              <w:rPr>
                <w:sz w:val="11"/>
                <w:szCs w:val="11"/>
                <w:color w:val="auto"/>
              </w:rPr>
            </w:pPr>
          </w:p>
        </w:tc>
        <w:tc>
          <w:tcPr>
            <w:tcW w:w="34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Brian Kocher</w:t>
            </w:r>
          </w:p>
        </w:tc>
        <w:tc>
          <w:tcPr>
            <w:tcW w:w="140" w:type="dxa"/>
            <w:vAlign w:val="bottom"/>
          </w:tcPr>
          <w:p>
            <w:pPr>
              <w:spacing w:after="0"/>
              <w:rPr>
                <w:sz w:val="11"/>
                <w:szCs w:val="11"/>
                <w:color w:val="auto"/>
              </w:rPr>
            </w:pPr>
          </w:p>
        </w:tc>
        <w:tc>
          <w:tcPr>
            <w:tcW w:w="2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53</w:t>
            </w:r>
          </w:p>
        </w:tc>
        <w:tc>
          <w:tcPr>
            <w:tcW w:w="140" w:type="dxa"/>
            <w:vAlign w:val="bottom"/>
          </w:tcPr>
          <w:p>
            <w:pPr>
              <w:spacing w:after="0"/>
              <w:rPr>
                <w:sz w:val="11"/>
                <w:szCs w:val="11"/>
                <w:color w:val="auto"/>
              </w:rPr>
            </w:pPr>
          </w:p>
        </w:tc>
        <w:tc>
          <w:tcPr>
            <w:tcW w:w="494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Chief Executive Officer</w:t>
            </w:r>
          </w:p>
        </w:tc>
      </w:tr>
      <w:tr>
        <w:trPr>
          <w:trHeight w:val="144"/>
        </w:trPr>
        <w:tc>
          <w:tcPr>
            <w:tcW w:w="20" w:type="dxa"/>
            <w:vAlign w:val="bottom"/>
          </w:tcPr>
          <w:p>
            <w:pPr>
              <w:spacing w:after="0"/>
              <w:rPr>
                <w:sz w:val="12"/>
                <w:szCs w:val="12"/>
                <w:color w:val="auto"/>
              </w:rPr>
            </w:pPr>
          </w:p>
        </w:tc>
        <w:tc>
          <w:tcPr>
            <w:tcW w:w="362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Shawn Munsell</w:t>
            </w:r>
          </w:p>
        </w:tc>
        <w:tc>
          <w:tcPr>
            <w:tcW w:w="26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47</w:t>
            </w:r>
          </w:p>
        </w:tc>
        <w:tc>
          <w:tcPr>
            <w:tcW w:w="50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44"/>
        </w:trPr>
        <w:tc>
          <w:tcPr>
            <w:tcW w:w="20" w:type="dxa"/>
            <w:vAlign w:val="bottom"/>
          </w:tcPr>
          <w:p>
            <w:pPr>
              <w:spacing w:after="0"/>
              <w:rPr>
                <w:sz w:val="12"/>
                <w:szCs w:val="12"/>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Chief Human Resources Officer</w:t>
            </w: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Danny Dumas</w:t>
            </w:r>
          </w:p>
        </w:tc>
        <w:tc>
          <w:tcPr>
            <w:tcW w:w="26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53</w:t>
            </w:r>
          </w:p>
        </w:tc>
        <w:tc>
          <w:tcPr>
            <w:tcW w:w="5080" w:type="dxa"/>
            <w:vAlign w:val="bottom"/>
            <w:gridSpan w:val="2"/>
            <w:shd w:val="clear" w:color="auto" w:fill="CCFFEE"/>
          </w:tcPr>
          <w:p>
            <w:pPr>
              <w:ind w:left="140"/>
              <w:spacing w:after="0"/>
              <w:rPr>
                <w:sz w:val="20"/>
                <w:szCs w:val="20"/>
                <w:color w:val="auto"/>
              </w:rPr>
            </w:pPr>
            <w:r>
              <w:rPr>
                <w:rFonts w:ascii="Times New Roman" w:cs="Times New Roman" w:eastAsia="Times New Roman" w:hAnsi="Times New Roman"/>
                <w:sz w:val="12"/>
                <w:szCs w:val="12"/>
                <w:color w:val="auto"/>
              </w:rPr>
              <w:t>Senior Vice President and General Manager of Calavo Grown</w:t>
            </w: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Helen Kurtz</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52</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Senior Vice President and General Manager of Calavo Prepared</w:t>
            </w:r>
          </w:p>
        </w:tc>
      </w:tr>
      <w:tr>
        <w:trPr>
          <w:trHeight w:val="5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34</w:t>
            </w:r>
          </w:p>
        </w:tc>
      </w:tr>
      <w:tr>
        <w:trPr>
          <w:trHeight w:val="367"/>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9"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20" w:right="39" w:firstLine="173"/>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Brian Kocher </w:t>
      </w:r>
      <w:r>
        <w:rPr>
          <w:rFonts w:ascii="Times New Roman" w:cs="Times New Roman" w:eastAsia="Times New Roman" w:hAnsi="Times New Roman"/>
          <w:sz w:val="12"/>
          <w:szCs w:val="12"/>
          <w:color w:val="auto"/>
        </w:rPr>
        <w:t>has served as our Chief Executive Officer since February 2022. Prior to his appointment as Chief Executive Officer, Mr. Kocher served as President and Chief Executive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 of the Castellini Group of Companies from January 2017 through January 2022, one of the largest distributors of fresh produce in the United States. Prior to his promotion to Chief Executive Officer, Mr. Kocher served as Castellini’s Chief Operating Officer from May 2015 through January 2017. Before his time at Castellini, Mr. Kocher held several executive roles, including Interim CEO at Chiquita Brands International, a leading producer and distributor of bananas and other produce.</w:t>
      </w:r>
    </w:p>
    <w:p>
      <w:pPr>
        <w:spacing w:after="0" w:line="120" w:lineRule="exact"/>
        <w:rPr>
          <w:sz w:val="20"/>
          <w:szCs w:val="20"/>
          <w:color w:val="auto"/>
        </w:rPr>
      </w:pPr>
    </w:p>
    <w:p>
      <w:pPr>
        <w:jc w:val="both"/>
        <w:ind w:left="20" w:right="179" w:firstLine="173"/>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Shawn Munsell </w:t>
      </w:r>
      <w:r>
        <w:rPr>
          <w:rFonts w:ascii="Times New Roman" w:cs="Times New Roman" w:eastAsia="Times New Roman" w:hAnsi="Times New Roman"/>
          <w:sz w:val="12"/>
          <w:szCs w:val="12"/>
          <w:color w:val="auto"/>
        </w:rPr>
        <w:t>has served as our Chief Financial Officer since June 2022. Prior to his appointment as Chief Financial Officer, Mr. Munsell led the finance and accounting functions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Tyson Foods’ (NYSE: TSN) chicken segment, from 2018 to 2022, as Senior Vice President of Finance and Accounting. From 2015 to 2018, he served as Tyson’s Treasurer. Prior to Tyson, Mr. Munsell was with CF Industries, serving in a variety of roles with progressive responsibility for the nitrogen products manufacturer.</w:t>
      </w:r>
    </w:p>
    <w:p>
      <w:pPr>
        <w:spacing w:after="0" w:line="117" w:lineRule="exact"/>
        <w:rPr>
          <w:sz w:val="20"/>
          <w:szCs w:val="20"/>
          <w:color w:val="auto"/>
        </w:rPr>
      </w:pPr>
    </w:p>
    <w:p>
      <w:pPr>
        <w:ind w:left="20" w:right="139" w:firstLine="173"/>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Graciela Montgomery </w:t>
      </w:r>
      <w:r>
        <w:rPr>
          <w:rFonts w:ascii="Times New Roman" w:cs="Times New Roman" w:eastAsia="Times New Roman" w:hAnsi="Times New Roman"/>
          <w:sz w:val="12"/>
          <w:szCs w:val="12"/>
          <w:color w:val="auto"/>
        </w:rPr>
        <w:t>has served as our Chief Human Resources Officer since October 2021. P</w:t>
      </w:r>
      <w:r>
        <w:rPr>
          <w:rFonts w:ascii="Times New Roman" w:cs="Times New Roman" w:eastAsia="Times New Roman" w:hAnsi="Times New Roman"/>
          <w:sz w:val="12"/>
          <w:szCs w:val="12"/>
          <w:color w:val="1D2228"/>
        </w:rPr>
        <w:t>rior to joining Calavo, Ms. Montgomery led a consultancy specializing in the areas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1D2228"/>
        </w:rPr>
        <w:t>leadership, organizational design, cultural transformation and change management (March 2019 - November 2021). Prior to that role, she held senior human resources positions with National Public Radio (2017 – 2019), Deckers Brands (2008 – 2016), AECOM, Nortel Networks and Citibank, where she led initiatives in human resources development, recruiting, performance management and total rewards.</w:t>
      </w:r>
    </w:p>
    <w:p>
      <w:pPr>
        <w:spacing w:after="0" w:line="120" w:lineRule="exact"/>
        <w:rPr>
          <w:sz w:val="20"/>
          <w:szCs w:val="20"/>
          <w:color w:val="auto"/>
        </w:rPr>
      </w:pPr>
    </w:p>
    <w:p>
      <w:pPr>
        <w:ind w:left="20" w:right="139" w:firstLine="173"/>
        <w:spacing w:after="0" w:line="302" w:lineRule="auto"/>
        <w:rPr>
          <w:sz w:val="20"/>
          <w:szCs w:val="20"/>
          <w:color w:val="auto"/>
        </w:rPr>
      </w:pPr>
      <w:r>
        <w:rPr>
          <w:rFonts w:ascii="Times New Roman" w:cs="Times New Roman" w:eastAsia="Times New Roman" w:hAnsi="Times New Roman"/>
          <w:sz w:val="11"/>
          <w:szCs w:val="11"/>
          <w:i w:val="1"/>
          <w:iCs w:val="1"/>
          <w:color w:val="auto"/>
        </w:rPr>
        <w:t xml:space="preserve">Danny Dumas </w:t>
      </w:r>
      <w:r>
        <w:rPr>
          <w:rFonts w:ascii="Times New Roman" w:cs="Times New Roman" w:eastAsia="Times New Roman" w:hAnsi="Times New Roman"/>
          <w:sz w:val="11"/>
          <w:szCs w:val="11"/>
          <w:color w:val="auto"/>
        </w:rPr>
        <w:t>has served as our Senior Vice President and General Manager of Calavo Grown since July 2022. Mr. Dumas has more than 30 years of experience, primarily with Del</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Monte Fresh Produce (January 2014 – June 2020) and, most recently, serving as president of Courchesne Larose USA (February 2021 – July 2022). At Del Monte, Mr. Dumas’ roles included Senior Vice President North American Sales, Marketing &amp; Product Management; Vice President Sales – Canada; and Vice President Operations Fresh (Europe &amp; Africa).</w:t>
      </w:r>
    </w:p>
    <w:p>
      <w:pPr>
        <w:spacing w:after="0" w:line="99" w:lineRule="exact"/>
        <w:rPr>
          <w:sz w:val="20"/>
          <w:szCs w:val="20"/>
          <w:color w:val="auto"/>
        </w:rPr>
      </w:pPr>
    </w:p>
    <w:p>
      <w:pPr>
        <w:ind w:left="20" w:right="99" w:firstLine="12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Helen Kurtz </w:t>
      </w:r>
      <w:r>
        <w:rPr>
          <w:rFonts w:ascii="Times New Roman" w:cs="Times New Roman" w:eastAsia="Times New Roman" w:hAnsi="Times New Roman"/>
          <w:sz w:val="12"/>
          <w:szCs w:val="12"/>
          <w:color w:val="auto"/>
        </w:rPr>
        <w:t>has served as our Senior Vice President and General Manager of Calavo Prepared since August 2022. Ms. Kurtz has more than 25 years of experience, primarily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General Mills Inc (1997 – 2017). and, most recently, serving as SVP, Chief Marketing Officer of Foster Farms (2017 – 2022). There, she led the poultry business and orchestrated its sale to private equity. At General Mills, Ms. Kurtz led a number of brands, including Betty Crocker, Chex Mix and Fruit Snacks and served as Vice President of Yoplait.</w:t>
      </w:r>
    </w:p>
    <w:p>
      <w:pPr>
        <w:spacing w:after="0" w:line="119" w:lineRule="exact"/>
        <w:rPr>
          <w:sz w:val="20"/>
          <w:szCs w:val="20"/>
          <w:color w:val="auto"/>
        </w:rPr>
      </w:pPr>
    </w:p>
    <w:p>
      <w:pPr>
        <w:jc w:val="both"/>
        <w:ind w:left="20" w:right="19"/>
        <w:spacing w:after="0" w:line="257" w:lineRule="auto"/>
        <w:rPr>
          <w:sz w:val="20"/>
          <w:szCs w:val="20"/>
          <w:color w:val="auto"/>
        </w:rPr>
      </w:pPr>
      <w:r>
        <w:rPr>
          <w:rFonts w:ascii="Times New Roman" w:cs="Times New Roman" w:eastAsia="Times New Roman" w:hAnsi="Times New Roman"/>
          <w:sz w:val="12"/>
          <w:szCs w:val="12"/>
          <w:color w:val="auto"/>
        </w:rPr>
        <w:t>Our executive officers are elected annually and serve at the discretion of the Board. There are no family relationships among any of our executive officers, directors or director nominees. There have been no material proceedings to which any director, director nominee, executive officer or affiliate of the Company, any owner of record or beneficially of more than five percent of any class of voting securities of the Company, or any associate of any such director, director nominee,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Compensation Program Objectives and Philosophy</w:t>
      </w:r>
    </w:p>
    <w:p>
      <w:pPr>
        <w:spacing w:after="0" w:line="109" w:lineRule="exact"/>
        <w:rPr>
          <w:sz w:val="20"/>
          <w:szCs w:val="20"/>
          <w:color w:val="auto"/>
        </w:rPr>
      </w:pPr>
    </w:p>
    <w:p>
      <w:pPr>
        <w:ind w:left="20" w:right="259"/>
        <w:spacing w:after="0" w:line="279" w:lineRule="auto"/>
        <w:rPr>
          <w:sz w:val="20"/>
          <w:szCs w:val="20"/>
          <w:color w:val="auto"/>
        </w:rPr>
      </w:pPr>
      <w:r>
        <w:rPr>
          <w:rFonts w:ascii="Times New Roman" w:cs="Times New Roman" w:eastAsia="Times New Roman" w:hAnsi="Times New Roman"/>
          <w:sz w:val="12"/>
          <w:szCs w:val="12"/>
          <w:color w:val="auto"/>
        </w:rPr>
        <w:t>The Compensation Committee of our Board oversees the design and administration of the compensation program for our executive officers. The Compensation Committee’s primary objectives in structuring and administering our executive officer compensation program are to:</w:t>
      </w:r>
    </w:p>
    <w:p>
      <w:pPr>
        <w:spacing w:after="0" w:line="66" w:lineRule="exact"/>
        <w:rPr>
          <w:sz w:val="20"/>
          <w:szCs w:val="20"/>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 motivate and retain talented and dedicated executive officers;</w:t>
      </w:r>
    </w:p>
    <w:p>
      <w:pPr>
        <w:spacing w:after="0" w:line="105"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 annual and long-term cash and stock incentives to achievement of measurable corporate and individual performance objectives; and</w:t>
      </w:r>
    </w:p>
    <w:p>
      <w:pPr>
        <w:spacing w:after="0" w:line="105"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 business strategies and objectives for enhanced shareholder value.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65"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To achieve these goals, the Compensation Committee maintains compensation plans that tie a portion of executive officers’ overall compensation to key strategic goals, including financial and operational performance. The Compensation Committee evaluates individual executive performance with a goal of setting compensation at levels the Compensation Committee believes are comparable with those of executive officers at other public companies having a similar size and, generally, line of business, while taking into account our relative performance and our own strategic goals.</w:t>
      </w:r>
    </w:p>
    <w:p>
      <w:pPr>
        <w:spacing w:after="0" w:line="122" w:lineRule="exact"/>
        <w:rPr>
          <w:sz w:val="20"/>
          <w:szCs w:val="20"/>
          <w:color w:val="auto"/>
        </w:rPr>
      </w:pPr>
    </w:p>
    <w:p>
      <w:pPr>
        <w:ind w:left="20" w:right="19"/>
        <w:spacing w:after="0" w:line="265" w:lineRule="auto"/>
        <w:rPr>
          <w:sz w:val="20"/>
          <w:szCs w:val="20"/>
          <w:color w:val="auto"/>
        </w:rPr>
      </w:pPr>
      <w:r>
        <w:rPr>
          <w:rFonts w:ascii="Times New Roman" w:cs="Times New Roman" w:eastAsia="Times New Roman" w:hAnsi="Times New Roman"/>
          <w:sz w:val="12"/>
          <w:szCs w:val="12"/>
          <w:color w:val="auto"/>
        </w:rPr>
        <w:t>The principal elements of our executive compensation program are base salaries, annual cash incentive awards, time-based restricted stock unit (“RSUs”) grants, performance-based restricted stock unit (“PRSUs”) grants, restricted stock grants, and other benefits and perquisites. Our other benefits and perquisites consist of life, disability and health insurance benefits, a qualified 401(k) savings plan and automobile allowances.</w:t>
      </w:r>
    </w:p>
    <w:p>
      <w:pPr>
        <w:spacing w:after="0" w:line="74"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We view these components of compensation as related, but distinct. Although the Compensation Committee does review total compensation, we do not believe that significant compensation derived from one component of compensation should negate or offset compensation from other components. The Compensation Committee’s goal is that the compensation elements work together to create a highly motivating plan that rewards performance and achievement of financial and non-financial goals which are outlined, in advance of any performance year, for each executive.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Determination of Compensation Awards</w:t>
      </w:r>
    </w:p>
    <w:p>
      <w:pPr>
        <w:spacing w:after="0" w:line="109" w:lineRule="exact"/>
        <w:rPr>
          <w:sz w:val="20"/>
          <w:szCs w:val="20"/>
          <w:color w:val="auto"/>
        </w:rPr>
      </w:pPr>
    </w:p>
    <w:p>
      <w:pPr>
        <w:ind w:left="20" w:right="259"/>
        <w:spacing w:after="0" w:line="265" w:lineRule="auto"/>
        <w:rPr>
          <w:sz w:val="20"/>
          <w:szCs w:val="20"/>
          <w:color w:val="auto"/>
        </w:rPr>
      </w:pPr>
      <w:r>
        <w:rPr>
          <w:rFonts w:ascii="Times New Roman" w:cs="Times New Roman" w:eastAsia="Times New Roman" w:hAnsi="Times New Roman"/>
          <w:sz w:val="12"/>
          <w:szCs w:val="12"/>
          <w:color w:val="auto"/>
        </w:rPr>
        <w:t>The Compensation Committee typically performs an annual strategic review of our executive officers’ compensation to determine whether such compensation provides adequate incentives and motivation to our executive officers and whether it adequately compensates our executive officers relative to comparable officers in other similarly situated companies. The Compensation Committee’s most recent annual strategic review occurred in October 2022.</w:t>
      </w:r>
    </w:p>
    <w:p>
      <w:pPr>
        <w:spacing w:after="0" w:line="74" w:lineRule="exact"/>
        <w:rPr>
          <w:sz w:val="20"/>
          <w:szCs w:val="20"/>
          <w:color w:val="auto"/>
        </w:rPr>
      </w:pPr>
    </w:p>
    <w:p>
      <w:pPr>
        <w:jc w:val="both"/>
        <w:ind w:left="20" w:right="99"/>
        <w:spacing w:after="0" w:line="265" w:lineRule="auto"/>
        <w:rPr>
          <w:sz w:val="20"/>
          <w:szCs w:val="20"/>
          <w:color w:val="auto"/>
        </w:rPr>
      </w:pPr>
      <w:r>
        <w:rPr>
          <w:rFonts w:ascii="Times New Roman" w:cs="Times New Roman" w:eastAsia="Times New Roman" w:hAnsi="Times New Roman"/>
          <w:sz w:val="12"/>
          <w:szCs w:val="12"/>
          <w:color w:val="auto"/>
        </w:rPr>
        <w:t>From time to time, the Compensation Committee’s meetings involve, for all or a portion of each meeting, the Compensation Committee members, our Chief Executive Officer, our Chief Financial Officer, our Chief Human Resources Officer, a recording secretary and/or other Board members. For compensation decisions relating to executive officers other than our Chief Executive Officer, the Compensation Committee considers recommendations from our Chief Executive Officer.</w:t>
      </w:r>
    </w:p>
    <w:p>
      <w:pPr>
        <w:spacing w:after="0" w:line="74" w:lineRule="exact"/>
        <w:rPr>
          <w:sz w:val="20"/>
          <w:szCs w:val="20"/>
          <w:color w:val="auto"/>
        </w:rPr>
      </w:pPr>
    </w:p>
    <w:p>
      <w:pPr>
        <w:ind w:left="20" w:right="159"/>
        <w:spacing w:after="0" w:line="265" w:lineRule="auto"/>
        <w:rPr>
          <w:sz w:val="20"/>
          <w:szCs w:val="20"/>
          <w:color w:val="auto"/>
        </w:rPr>
      </w:pPr>
      <w:r>
        <w:rPr>
          <w:rFonts w:ascii="Times New Roman" w:cs="Times New Roman" w:eastAsia="Times New Roman" w:hAnsi="Times New Roman"/>
          <w:sz w:val="12"/>
          <w:szCs w:val="12"/>
          <w:color w:val="auto"/>
        </w:rPr>
        <w:t>When determining compensation for our Chief Executive Officer, the Compensation Committee considers such factors as competitive industry salaries, an assessment of the Chief Executive Officer’s contributions made during the preceding year and his industry expertise. Our Chief Executive Officer does not attend the portion of the Compensation Committee’s meetings regarding his compensation.</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Review of Compensation Surveys</w:t>
      </w:r>
    </w:p>
    <w:p>
      <w:pPr>
        <w:spacing w:after="0" w:line="109" w:lineRule="exact"/>
        <w:rPr>
          <w:sz w:val="20"/>
          <w:szCs w:val="20"/>
          <w:color w:val="auto"/>
        </w:rPr>
      </w:pPr>
    </w:p>
    <w:p>
      <w:pPr>
        <w:ind w:left="20" w:right="79"/>
        <w:spacing w:after="0" w:line="260" w:lineRule="auto"/>
        <w:rPr>
          <w:sz w:val="20"/>
          <w:szCs w:val="20"/>
          <w:color w:val="auto"/>
        </w:rPr>
      </w:pPr>
      <w:r>
        <w:rPr>
          <w:rFonts w:ascii="Times New Roman" w:cs="Times New Roman" w:eastAsia="Times New Roman" w:hAnsi="Times New Roman"/>
          <w:sz w:val="12"/>
          <w:szCs w:val="12"/>
          <w:color w:val="auto"/>
        </w:rPr>
        <w:t>The Compensation Committee believes that it is important when making its compensation-related decisions to be informed as to the current practices of similarly situated companies. As a result, the Compensation Committee, from time to time, reviews broad-based third-party surveys and other information collected from public and private sources regarding the compensation for executive officers of comparably sized companies. The Compensation Committee considers the information in these surveys in connection with establishing the base salaries, performance-compensation awards, equity awards and other benefits and perquisites for our named executive officers.</w:t>
      </w:r>
    </w:p>
    <w:p>
      <w:pPr>
        <w:spacing w:after="0" w:line="77"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During fiscal 2022, the Compensation Committee retained an independent management consulting company, Korn Ferry. The Compensation Committee received from Korn Ferry reports that provided analyses and recommendations regarding compensation for Calavo’s non-employee directors and executive officers, including information about compensation for peer group companies, updates on executive compensation market trends and recommendations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139"/>
        <w:spacing w:after="0" w:line="265" w:lineRule="auto"/>
        <w:rPr>
          <w:sz w:val="20"/>
          <w:szCs w:val="20"/>
          <w:color w:val="auto"/>
        </w:rPr>
      </w:pPr>
      <w:r>
        <w:rPr>
          <w:rFonts w:ascii="Times New Roman" w:cs="Times New Roman" w:eastAsia="Times New Roman" w:hAnsi="Times New Roman"/>
          <w:sz w:val="12"/>
          <w:szCs w:val="12"/>
          <w:color w:val="auto"/>
        </w:rPr>
        <w:t>regarding short-term and long-term executive compensation incentive programs. The Compensation Committee received an updated analysis regarding compensation for non-employee directors and executive officers in October 2022 and incorporated certain data from the updated analysis into non-employee director and executive compensation plans for fiscal year 2023.</w:t>
      </w:r>
    </w:p>
    <w:p>
      <w:pPr>
        <w:spacing w:after="0" w:line="119" w:lineRule="exact"/>
        <w:rPr>
          <w:sz w:val="20"/>
          <w:szCs w:val="20"/>
          <w:color w:val="auto"/>
        </w:rPr>
      </w:pPr>
    </w:p>
    <w:p>
      <w:pPr>
        <w:ind w:left="20" w:right="559"/>
        <w:spacing w:after="0" w:line="279" w:lineRule="auto"/>
        <w:rPr>
          <w:sz w:val="20"/>
          <w:szCs w:val="20"/>
          <w:color w:val="auto"/>
        </w:rPr>
      </w:pPr>
      <w:r>
        <w:rPr>
          <w:rFonts w:ascii="Times New Roman" w:cs="Times New Roman" w:eastAsia="Times New Roman" w:hAnsi="Times New Roman"/>
          <w:sz w:val="12"/>
          <w:szCs w:val="12"/>
          <w:color w:val="auto"/>
        </w:rPr>
        <w:t>Pursuant to applicable SEC and NASDAQ rules, the Compensation Committee assessed the independence of Korn Ferry and determined that it is an independent compensation consultant.</w:t>
      </w:r>
    </w:p>
    <w:p>
      <w:pPr>
        <w:spacing w:after="0" w:line="111" w:lineRule="exact"/>
        <w:rPr>
          <w:sz w:val="20"/>
          <w:szCs w:val="20"/>
          <w:color w:val="auto"/>
        </w:rPr>
      </w:pPr>
    </w:p>
    <w:p>
      <w:pPr>
        <w:ind w:left="20" w:right="199"/>
        <w:spacing w:after="0" w:line="256" w:lineRule="auto"/>
        <w:rPr>
          <w:sz w:val="20"/>
          <w:szCs w:val="20"/>
          <w:color w:val="auto"/>
        </w:rPr>
      </w:pPr>
      <w:r>
        <w:rPr>
          <w:rFonts w:ascii="Times New Roman" w:cs="Times New Roman" w:eastAsia="Times New Roman" w:hAnsi="Times New Roman"/>
          <w:sz w:val="12"/>
          <w:szCs w:val="12"/>
          <w:color w:val="auto"/>
        </w:rPr>
        <w:t>The Compensation Committee analyzed whether Korn Ferry has any conflict of interest, taking into consideration the following factors: (i) the provision of other services to Calavo by Korn Ferry; (ii) the amount of fees paid by Calavo to Korn Ferry as a percentage of the firm’s total revenue; (iii) Korn Ferry’s policies and procedures that are designed to prevent conflicts of interest; (iv) any business or personal relationship of Korn Ferry or the individual compensation advisors employed by the firm with an executive officer of Calavo; (v) any business or personal relationship of the individual compensation advisors with any member of the Compensation Committee; and (vi) any stock of Calavo owned by Korn Ferry or the individual compensation advisors employed by the firm. The Compensation Committee has determined, based on its analysis of the above factors, that the work of Korn Ferry and the individual compensation advisors employed by Korn Ferry as compensation consultants to Calavo has not created any conflict of interest.</w:t>
      </w:r>
    </w:p>
    <w:p>
      <w:pPr>
        <w:spacing w:after="0" w:line="80" w:lineRule="exact"/>
        <w:rPr>
          <w:sz w:val="20"/>
          <w:szCs w:val="20"/>
          <w:color w:val="auto"/>
        </w:rPr>
      </w:pPr>
    </w:p>
    <w:p>
      <w:pPr>
        <w:ind w:left="20" w:right="199"/>
        <w:spacing w:after="0" w:line="260" w:lineRule="auto"/>
        <w:rPr>
          <w:sz w:val="20"/>
          <w:szCs w:val="20"/>
          <w:color w:val="auto"/>
        </w:rPr>
      </w:pPr>
      <w:r>
        <w:rPr>
          <w:rFonts w:ascii="Times New Roman" w:cs="Times New Roman" w:eastAsia="Times New Roman" w:hAnsi="Times New Roman"/>
          <w:sz w:val="12"/>
          <w:szCs w:val="12"/>
          <w:color w:val="auto"/>
        </w:rPr>
        <w:t>The Compensation Committee does not believe that the compensation of our named executive officers should be established solely by reference to the compensation programs of other companies or that the compensation of our named executive officers should be set as a specified percentage of the average compensation that is paid to executive officers of other companies. However, the Compensation Committee believes that collecting and reviewing this compensation survey information is a useful resource in providing information about current compensation practices and in confirming that Calavo’s executive compensation program remains competitive.</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Base Salaries</w:t>
      </w:r>
    </w:p>
    <w:p>
      <w:pPr>
        <w:spacing w:after="0" w:line="109" w:lineRule="exact"/>
        <w:rPr>
          <w:sz w:val="20"/>
          <w:szCs w:val="20"/>
          <w:color w:val="auto"/>
        </w:rPr>
      </w:pPr>
    </w:p>
    <w:p>
      <w:pPr>
        <w:jc w:val="both"/>
        <w:ind w:left="20" w:right="219"/>
        <w:spacing w:after="0" w:line="265" w:lineRule="auto"/>
        <w:rPr>
          <w:sz w:val="20"/>
          <w:szCs w:val="20"/>
          <w:color w:val="auto"/>
        </w:rPr>
      </w:pPr>
      <w:r>
        <w:rPr>
          <w:rFonts w:ascii="Times New Roman" w:cs="Times New Roman" w:eastAsia="Times New Roman" w:hAnsi="Times New Roman"/>
          <w:sz w:val="12"/>
          <w:szCs w:val="12"/>
          <w:color w:val="auto"/>
        </w:rPr>
        <w:t>We provide our named executive officers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are based on Company as well as individual performance.</w:t>
      </w:r>
    </w:p>
    <w:p>
      <w:pPr>
        <w:spacing w:after="0" w:line="119" w:lineRule="exact"/>
        <w:rPr>
          <w:sz w:val="20"/>
          <w:szCs w:val="20"/>
          <w:color w:val="auto"/>
        </w:rPr>
      </w:pPr>
    </w:p>
    <w:p>
      <w:pPr>
        <w:ind w:left="20" w:right="19"/>
        <w:spacing w:after="0" w:line="265" w:lineRule="auto"/>
        <w:rPr>
          <w:sz w:val="20"/>
          <w:szCs w:val="20"/>
          <w:color w:val="auto"/>
        </w:rPr>
      </w:pPr>
      <w:r>
        <w:rPr>
          <w:rFonts w:ascii="Times New Roman" w:cs="Times New Roman" w:eastAsia="Times New Roman" w:hAnsi="Times New Roman"/>
          <w:sz w:val="12"/>
          <w:szCs w:val="12"/>
          <w:color w:val="auto"/>
        </w:rPr>
        <w:t>On September 9, 2021, James E. Gibson retired from his position as Chief Executive Officer. Steven Hollister, a member of Calavo’s Board, was appointed to serve as Chief Executive Officer and Chief Financial Officer of Calavo on an interim basis. From September 9, 2021 through January 31, 2022, Mr. Hollister was paid $50,000 per month for his services as interim Chief Executive Officer and interim Chief Financial Officer and he also continued to earn compensation for his services as a non-employee director.</w:t>
      </w:r>
    </w:p>
    <w:p>
      <w:pPr>
        <w:spacing w:after="0" w:line="119"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On October 11, 2021, Graciela Montgomery was appointed to Chief Human Resources Officer, with an initial annual base salary of $350,000. On November 21, 2022, Ms. Montgomery’s annual base salary increased to $360,000.</w:t>
      </w:r>
    </w:p>
    <w:p>
      <w:pPr>
        <w:spacing w:after="0" w:line="111" w:lineRule="exact"/>
        <w:rPr>
          <w:sz w:val="20"/>
          <w:szCs w:val="20"/>
          <w:color w:val="auto"/>
        </w:rPr>
      </w:pPr>
    </w:p>
    <w:p>
      <w:pPr>
        <w:ind w:left="20" w:right="499"/>
        <w:spacing w:after="0" w:line="279" w:lineRule="auto"/>
        <w:rPr>
          <w:sz w:val="20"/>
          <w:szCs w:val="20"/>
          <w:color w:val="auto"/>
        </w:rPr>
      </w:pPr>
      <w:r>
        <w:rPr>
          <w:rFonts w:ascii="Times New Roman" w:cs="Times New Roman" w:eastAsia="Times New Roman" w:hAnsi="Times New Roman"/>
          <w:sz w:val="12"/>
          <w:szCs w:val="12"/>
          <w:color w:val="auto"/>
        </w:rPr>
        <w:t>On December 20, 2021, Brian Kocher and Calavo entered into an employment agreement, and he was appointed to serve as Chief Executive Officer of Calavo, with such service commencing on February 1, 2022. Mr. Kocher’s initial annual base salary was $800,000.</w:t>
      </w:r>
    </w:p>
    <w:p>
      <w:pPr>
        <w:spacing w:after="0" w:line="111"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On June 10, 2022, Shawn Munsell and Calavo entered into an employment agreement, and he was appointed to serve as Chief Financial Officer of Calavo, with such service commencing on June 20, 2022. Mr. Munsell’s initial annual base salary was $415,000.</w:t>
      </w:r>
    </w:p>
    <w:p>
      <w:pPr>
        <w:spacing w:after="0" w:line="111"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On July 11, 2022, Danny Dumas began serving as Senior Vice President and General Manager of Calavo Grown and on June 7, 2022, Mr. Dumas and Calavo entered into an employment agreement, and he was appointed to serve as Senior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Vice President and General Manager of Calavo Grown, with such service commencing on July 11, 2022. Mr. Dumas’s initial annual base salary was $415,000.</w:t>
      </w:r>
    </w:p>
    <w:p>
      <w:pPr>
        <w:spacing w:after="0" w:line="150" w:lineRule="exact"/>
        <w:rPr>
          <w:sz w:val="20"/>
          <w:szCs w:val="20"/>
          <w:color w:val="auto"/>
        </w:rPr>
      </w:pPr>
    </w:p>
    <w:p>
      <w:pPr>
        <w:ind w:left="20" w:right="159"/>
        <w:spacing w:after="0" w:line="279" w:lineRule="auto"/>
        <w:rPr>
          <w:sz w:val="20"/>
          <w:szCs w:val="20"/>
          <w:color w:val="auto"/>
        </w:rPr>
      </w:pPr>
      <w:r>
        <w:rPr>
          <w:rFonts w:ascii="Times New Roman" w:cs="Times New Roman" w:eastAsia="Times New Roman" w:hAnsi="Times New Roman"/>
          <w:sz w:val="12"/>
          <w:szCs w:val="12"/>
          <w:color w:val="auto"/>
        </w:rPr>
        <w:t>On August 8, 2022, Helen Kurtz and Calavo entered into an employment agreement, and she was appointed to serve as Senior Vice President and General Manager of Calavo Prepared, with such service commencing on August 17, 2022. Ms. Kurtz’s initial annual base salary was $430,000.</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Our named executive officers’ annual base salaries for the 2022 fiscal year were as follows: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02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Executive Officer</w:t>
            </w:r>
          </w:p>
        </w:tc>
        <w:tc>
          <w:tcPr>
            <w:tcW w:w="204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Base Salary for Fiscal 2022</w:t>
            </w:r>
          </w:p>
        </w:tc>
      </w:tr>
      <w:tr>
        <w:trPr>
          <w:trHeight w:val="117"/>
        </w:trPr>
        <w:tc>
          <w:tcPr>
            <w:tcW w:w="1020" w:type="dxa"/>
            <w:vAlign w:val="bottom"/>
          </w:tcPr>
          <w:p>
            <w:pPr>
              <w:spacing w:after="0"/>
              <w:rPr>
                <w:sz w:val="10"/>
                <w:szCs w:val="10"/>
                <w:color w:val="auto"/>
              </w:rPr>
            </w:pPr>
          </w:p>
        </w:tc>
        <w:tc>
          <w:tcPr>
            <w:tcW w:w="4720" w:type="dxa"/>
            <w:vAlign w:val="bottom"/>
            <w:tcBorders>
              <w:top w:val="single" w:sz="8" w:color="auto"/>
            </w:tcBorders>
            <w:gridSpan w:val="2"/>
            <w:shd w:val="clear" w:color="auto" w:fill="CCFFEE"/>
          </w:tcPr>
          <w:p>
            <w:pPr>
              <w:spacing w:after="0" w:line="117" w:lineRule="exact"/>
              <w:rPr>
                <w:sz w:val="20"/>
                <w:szCs w:val="20"/>
                <w:color w:val="auto"/>
              </w:rPr>
            </w:pPr>
            <w:r>
              <w:rPr>
                <w:rFonts w:ascii="Times New Roman" w:cs="Times New Roman" w:eastAsia="Times New Roman" w:hAnsi="Times New Roman"/>
                <w:sz w:val="11"/>
                <w:szCs w:val="11"/>
                <w:color w:val="auto"/>
              </w:rPr>
              <w:t>Brian Kocher,</w:t>
            </w:r>
          </w:p>
        </w:tc>
        <w:tc>
          <w:tcPr>
            <w:tcW w:w="160" w:type="dxa"/>
            <w:vAlign w:val="bottom"/>
            <w:tcBorders>
              <w:top w:val="single" w:sz="8" w:color="CCFFEE"/>
            </w:tcBorders>
            <w:shd w:val="clear" w:color="auto" w:fill="CCFFEE"/>
          </w:tcPr>
          <w:p>
            <w:pPr>
              <w:spacing w:after="0"/>
              <w:rPr>
                <w:sz w:val="10"/>
                <w:szCs w:val="10"/>
                <w:color w:val="auto"/>
              </w:rPr>
            </w:pPr>
          </w:p>
        </w:tc>
        <w:tc>
          <w:tcPr>
            <w:tcW w:w="2040" w:type="dxa"/>
            <w:vAlign w:val="bottom"/>
            <w:tcBorders>
              <w:top w:val="single" w:sz="8" w:color="auto"/>
            </w:tcBorders>
            <w:shd w:val="clear" w:color="auto" w:fill="CCFFEE"/>
          </w:tcPr>
          <w:p>
            <w:pPr>
              <w:jc w:val="right"/>
              <w:spacing w:after="0" w:line="117" w:lineRule="exact"/>
              <w:rPr>
                <w:sz w:val="20"/>
                <w:szCs w:val="20"/>
                <w:color w:val="auto"/>
              </w:rPr>
            </w:pPr>
            <w:r>
              <w:rPr>
                <w:rFonts w:ascii="Times New Roman" w:cs="Times New Roman" w:eastAsia="Times New Roman" w:hAnsi="Times New Roman"/>
                <w:sz w:val="11"/>
                <w:szCs w:val="11"/>
                <w:color w:val="auto"/>
              </w:rPr>
              <w:t>$800,000</w:t>
            </w:r>
          </w:p>
        </w:tc>
      </w:tr>
      <w:tr>
        <w:trPr>
          <w:trHeight w:val="144"/>
        </w:trPr>
        <w:tc>
          <w:tcPr>
            <w:tcW w:w="1020" w:type="dxa"/>
            <w:vAlign w:val="bottom"/>
          </w:tcPr>
          <w:p>
            <w:pPr>
              <w:spacing w:after="0"/>
              <w:rPr>
                <w:sz w:val="12"/>
                <w:szCs w:val="12"/>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Chief Executive Officer</w:t>
            </w:r>
          </w:p>
        </w:tc>
        <w:tc>
          <w:tcPr>
            <w:tcW w:w="2040" w:type="dxa"/>
            <w:vAlign w:val="bottom"/>
            <w:shd w:val="clear" w:color="auto" w:fill="CCFFEE"/>
          </w:tcPr>
          <w:p>
            <w:pPr>
              <w:spacing w:after="0"/>
              <w:rPr>
                <w:sz w:val="12"/>
                <w:szCs w:val="12"/>
                <w:color w:val="auto"/>
              </w:rPr>
            </w:pPr>
          </w:p>
        </w:tc>
      </w:tr>
      <w:tr>
        <w:trPr>
          <w:trHeight w:val="126"/>
        </w:trPr>
        <w:tc>
          <w:tcPr>
            <w:tcW w:w="1020" w:type="dxa"/>
            <w:vAlign w:val="bottom"/>
          </w:tcPr>
          <w:p>
            <w:pPr>
              <w:spacing w:after="0"/>
              <w:rPr>
                <w:sz w:val="10"/>
                <w:szCs w:val="10"/>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Shawn Munsell,</w:t>
            </w:r>
          </w:p>
        </w:tc>
        <w:tc>
          <w:tcPr>
            <w:tcW w:w="2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415,000</w:t>
            </w:r>
          </w:p>
        </w:tc>
      </w:tr>
      <w:tr>
        <w:trPr>
          <w:trHeight w:val="142"/>
        </w:trPr>
        <w:tc>
          <w:tcPr>
            <w:tcW w:w="102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Chief Financial Officer</w:t>
            </w:r>
          </w:p>
        </w:tc>
        <w:tc>
          <w:tcPr>
            <w:tcW w:w="2040" w:type="dxa"/>
            <w:vAlign w:val="bottom"/>
          </w:tcPr>
          <w:p>
            <w:pPr>
              <w:spacing w:after="0"/>
              <w:rPr>
                <w:sz w:val="12"/>
                <w:szCs w:val="12"/>
                <w:color w:val="auto"/>
              </w:rPr>
            </w:pPr>
          </w:p>
        </w:tc>
      </w:tr>
      <w:tr>
        <w:trPr>
          <w:trHeight w:val="128"/>
        </w:trPr>
        <w:tc>
          <w:tcPr>
            <w:tcW w:w="1020" w:type="dxa"/>
            <w:vAlign w:val="bottom"/>
          </w:tcPr>
          <w:p>
            <w:pPr>
              <w:spacing w:after="0"/>
              <w:rPr>
                <w:sz w:val="11"/>
                <w:szCs w:val="11"/>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Graciela Montgomery,</w:t>
            </w:r>
          </w:p>
        </w:tc>
        <w:tc>
          <w:tcPr>
            <w:tcW w:w="20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1"/>
                <w:szCs w:val="11"/>
                <w:color w:val="auto"/>
              </w:rPr>
              <w:t>350,000</w:t>
            </w:r>
          </w:p>
        </w:tc>
      </w:tr>
      <w:tr>
        <w:trPr>
          <w:trHeight w:val="144"/>
        </w:trPr>
        <w:tc>
          <w:tcPr>
            <w:tcW w:w="1020" w:type="dxa"/>
            <w:vAlign w:val="bottom"/>
          </w:tcPr>
          <w:p>
            <w:pPr>
              <w:spacing w:after="0"/>
              <w:rPr>
                <w:sz w:val="12"/>
                <w:szCs w:val="12"/>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Chief Human Resources Officer</w:t>
            </w:r>
          </w:p>
        </w:tc>
        <w:tc>
          <w:tcPr>
            <w:tcW w:w="2040" w:type="dxa"/>
            <w:vAlign w:val="bottom"/>
            <w:shd w:val="clear" w:color="auto" w:fill="CCFFEE"/>
          </w:tcPr>
          <w:p>
            <w:pPr>
              <w:spacing w:after="0"/>
              <w:rPr>
                <w:sz w:val="12"/>
                <w:szCs w:val="12"/>
                <w:color w:val="auto"/>
              </w:rPr>
            </w:pPr>
          </w:p>
        </w:tc>
      </w:tr>
      <w:tr>
        <w:trPr>
          <w:trHeight w:val="126"/>
        </w:trPr>
        <w:tc>
          <w:tcPr>
            <w:tcW w:w="1020" w:type="dxa"/>
            <w:vAlign w:val="bottom"/>
          </w:tcPr>
          <w:p>
            <w:pPr>
              <w:spacing w:after="0"/>
              <w:rPr>
                <w:sz w:val="10"/>
                <w:szCs w:val="10"/>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Danny Dumas,</w:t>
            </w:r>
          </w:p>
        </w:tc>
        <w:tc>
          <w:tcPr>
            <w:tcW w:w="2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415,000</w:t>
            </w:r>
          </w:p>
        </w:tc>
      </w:tr>
      <w:tr>
        <w:trPr>
          <w:trHeight w:val="142"/>
        </w:trPr>
        <w:tc>
          <w:tcPr>
            <w:tcW w:w="102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Senior Vice President and General Manager of Calavo Grown</w:t>
            </w:r>
          </w:p>
        </w:tc>
        <w:tc>
          <w:tcPr>
            <w:tcW w:w="2040" w:type="dxa"/>
            <w:vAlign w:val="bottom"/>
          </w:tcPr>
          <w:p>
            <w:pPr>
              <w:spacing w:after="0"/>
              <w:rPr>
                <w:sz w:val="12"/>
                <w:szCs w:val="12"/>
                <w:color w:val="auto"/>
              </w:rPr>
            </w:pPr>
          </w:p>
        </w:tc>
      </w:tr>
      <w:tr>
        <w:trPr>
          <w:trHeight w:val="128"/>
        </w:trPr>
        <w:tc>
          <w:tcPr>
            <w:tcW w:w="1020" w:type="dxa"/>
            <w:vAlign w:val="bottom"/>
          </w:tcPr>
          <w:p>
            <w:pPr>
              <w:spacing w:after="0"/>
              <w:rPr>
                <w:sz w:val="11"/>
                <w:szCs w:val="11"/>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Helen Kurtz,</w:t>
            </w:r>
          </w:p>
        </w:tc>
        <w:tc>
          <w:tcPr>
            <w:tcW w:w="20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1"/>
                <w:szCs w:val="11"/>
                <w:color w:val="auto"/>
              </w:rPr>
              <w:t>430,000</w:t>
            </w:r>
          </w:p>
        </w:tc>
      </w:tr>
      <w:tr>
        <w:trPr>
          <w:trHeight w:val="144"/>
        </w:trPr>
        <w:tc>
          <w:tcPr>
            <w:tcW w:w="1020" w:type="dxa"/>
            <w:vAlign w:val="bottom"/>
          </w:tcPr>
          <w:p>
            <w:pPr>
              <w:spacing w:after="0"/>
              <w:rPr>
                <w:sz w:val="12"/>
                <w:szCs w:val="12"/>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Senior Vice President and General Manager of Calavo Prepared</w:t>
            </w:r>
          </w:p>
        </w:tc>
        <w:tc>
          <w:tcPr>
            <w:tcW w:w="2040" w:type="dxa"/>
            <w:vAlign w:val="bottom"/>
            <w:shd w:val="clear" w:color="auto" w:fill="CCFFEE"/>
          </w:tcPr>
          <w:p>
            <w:pPr>
              <w:spacing w:after="0"/>
              <w:rPr>
                <w:sz w:val="12"/>
                <w:szCs w:val="12"/>
                <w:color w:val="auto"/>
              </w:rPr>
            </w:pPr>
          </w:p>
        </w:tc>
      </w:tr>
      <w:tr>
        <w:trPr>
          <w:trHeight w:val="126"/>
        </w:trPr>
        <w:tc>
          <w:tcPr>
            <w:tcW w:w="1020" w:type="dxa"/>
            <w:vAlign w:val="bottom"/>
          </w:tcPr>
          <w:p>
            <w:pPr>
              <w:spacing w:after="0"/>
              <w:rPr>
                <w:sz w:val="10"/>
                <w:szCs w:val="10"/>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Ronald Araiza,</w:t>
            </w:r>
          </w:p>
        </w:tc>
        <w:tc>
          <w:tcPr>
            <w:tcW w:w="2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430,000</w:t>
            </w:r>
          </w:p>
        </w:tc>
      </w:tr>
      <w:tr>
        <w:trPr>
          <w:trHeight w:val="142"/>
        </w:trPr>
        <w:tc>
          <w:tcPr>
            <w:tcW w:w="102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Former Executive Vice President, Foods and RFG Sales</w:t>
            </w:r>
          </w:p>
        </w:tc>
        <w:tc>
          <w:tcPr>
            <w:tcW w:w="2040" w:type="dxa"/>
            <w:vAlign w:val="bottom"/>
          </w:tcPr>
          <w:p>
            <w:pPr>
              <w:spacing w:after="0"/>
              <w:rPr>
                <w:sz w:val="12"/>
                <w:szCs w:val="12"/>
                <w:color w:val="auto"/>
              </w:rPr>
            </w:pPr>
          </w:p>
        </w:tc>
      </w:tr>
      <w:tr>
        <w:trPr>
          <w:trHeight w:val="128"/>
        </w:trPr>
        <w:tc>
          <w:tcPr>
            <w:tcW w:w="1020" w:type="dxa"/>
            <w:vAlign w:val="bottom"/>
          </w:tcPr>
          <w:p>
            <w:pPr>
              <w:spacing w:after="0"/>
              <w:rPr>
                <w:sz w:val="11"/>
                <w:szCs w:val="11"/>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Robert Wedin,</w:t>
            </w:r>
          </w:p>
        </w:tc>
        <w:tc>
          <w:tcPr>
            <w:tcW w:w="20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1"/>
                <w:szCs w:val="11"/>
                <w:color w:val="auto"/>
              </w:rPr>
              <w:t>430,000</w:t>
            </w:r>
          </w:p>
        </w:tc>
      </w:tr>
      <w:tr>
        <w:trPr>
          <w:trHeight w:val="144"/>
        </w:trPr>
        <w:tc>
          <w:tcPr>
            <w:tcW w:w="1020" w:type="dxa"/>
            <w:vAlign w:val="bottom"/>
          </w:tcPr>
          <w:p>
            <w:pPr>
              <w:spacing w:after="0"/>
              <w:rPr>
                <w:sz w:val="12"/>
                <w:szCs w:val="12"/>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Former Executive Vice President, Fresh Sales</w:t>
            </w:r>
          </w:p>
        </w:tc>
        <w:tc>
          <w:tcPr>
            <w:tcW w:w="2040" w:type="dxa"/>
            <w:vAlign w:val="bottom"/>
            <w:shd w:val="clear" w:color="auto" w:fill="CCFFEE"/>
          </w:tcPr>
          <w:p>
            <w:pPr>
              <w:spacing w:after="0"/>
              <w:rPr>
                <w:sz w:val="12"/>
                <w:szCs w:val="12"/>
                <w:color w:val="auto"/>
              </w:rPr>
            </w:pPr>
          </w:p>
        </w:tc>
      </w:tr>
      <w:tr>
        <w:trPr>
          <w:trHeight w:val="126"/>
        </w:trPr>
        <w:tc>
          <w:tcPr>
            <w:tcW w:w="1020" w:type="dxa"/>
            <w:vAlign w:val="bottom"/>
          </w:tcPr>
          <w:p>
            <w:pPr>
              <w:spacing w:after="0"/>
              <w:rPr>
                <w:sz w:val="10"/>
                <w:szCs w:val="10"/>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Steven Hollister, (1)</w:t>
            </w:r>
          </w:p>
        </w:tc>
        <w:tc>
          <w:tcPr>
            <w:tcW w:w="2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w:t>
            </w:r>
          </w:p>
        </w:tc>
      </w:tr>
      <w:tr>
        <w:trPr>
          <w:trHeight w:val="142"/>
        </w:trPr>
        <w:tc>
          <w:tcPr>
            <w:tcW w:w="102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Former Interim Chief Executive Officer</w:t>
            </w:r>
          </w:p>
        </w:tc>
        <w:tc>
          <w:tcPr>
            <w:tcW w:w="2040" w:type="dxa"/>
            <w:vAlign w:val="bottom"/>
          </w:tcPr>
          <w:p>
            <w:pPr>
              <w:spacing w:after="0"/>
              <w:rPr>
                <w:sz w:val="12"/>
                <w:szCs w:val="12"/>
                <w:color w:val="auto"/>
              </w:rPr>
            </w:pPr>
          </w:p>
        </w:tc>
      </w:tr>
      <w:tr>
        <w:trPr>
          <w:trHeight w:val="128"/>
        </w:trPr>
        <w:tc>
          <w:tcPr>
            <w:tcW w:w="1020" w:type="dxa"/>
            <w:vAlign w:val="bottom"/>
          </w:tcPr>
          <w:p>
            <w:pPr>
              <w:spacing w:after="0"/>
              <w:rPr>
                <w:sz w:val="11"/>
                <w:szCs w:val="11"/>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Mariela Matute,</w:t>
            </w:r>
          </w:p>
        </w:tc>
        <w:tc>
          <w:tcPr>
            <w:tcW w:w="20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1"/>
                <w:szCs w:val="11"/>
                <w:color w:val="auto"/>
              </w:rPr>
              <w:t>430,000</w:t>
            </w:r>
          </w:p>
        </w:tc>
      </w:tr>
      <w:tr>
        <w:trPr>
          <w:trHeight w:val="144"/>
        </w:trPr>
        <w:tc>
          <w:tcPr>
            <w:tcW w:w="1020" w:type="dxa"/>
            <w:vAlign w:val="bottom"/>
          </w:tcPr>
          <w:p>
            <w:pPr>
              <w:spacing w:after="0"/>
              <w:rPr>
                <w:sz w:val="12"/>
                <w:szCs w:val="12"/>
                <w:color w:val="auto"/>
              </w:rPr>
            </w:pPr>
          </w:p>
        </w:tc>
        <w:tc>
          <w:tcPr>
            <w:tcW w:w="4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1"/>
                <w:szCs w:val="11"/>
                <w:color w:val="auto"/>
              </w:rPr>
              <w:t>Former Chief Financial Officer</w:t>
            </w:r>
          </w:p>
        </w:tc>
        <w:tc>
          <w:tcPr>
            <w:tcW w:w="2040" w:type="dxa"/>
            <w:vAlign w:val="bottom"/>
            <w:shd w:val="clear" w:color="auto" w:fill="CCFFEE"/>
          </w:tcPr>
          <w:p>
            <w:pPr>
              <w:spacing w:after="0"/>
              <w:rPr>
                <w:sz w:val="12"/>
                <w:szCs w:val="12"/>
                <w:color w:val="auto"/>
              </w:rPr>
            </w:pPr>
          </w:p>
        </w:tc>
      </w:tr>
      <w:tr>
        <w:trPr>
          <w:trHeight w:val="72"/>
        </w:trPr>
        <w:tc>
          <w:tcPr>
            <w:tcW w:w="10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40" w:type="dxa"/>
            <w:vAlign w:val="bottom"/>
          </w:tcPr>
          <w:p>
            <w:pPr>
              <w:spacing w:after="0"/>
              <w:rPr>
                <w:sz w:val="6"/>
                <w:szCs w:val="6"/>
                <w:color w:val="auto"/>
              </w:rPr>
            </w:pPr>
          </w:p>
        </w:tc>
      </w:tr>
    </w:tbl>
    <w:p>
      <w:pPr>
        <w:spacing w:after="0" w:line="49" w:lineRule="exact"/>
        <w:rPr>
          <w:sz w:val="20"/>
          <w:szCs w:val="20"/>
          <w:color w:val="auto"/>
        </w:rPr>
      </w:pPr>
    </w:p>
    <w:p>
      <w:pPr>
        <w:ind w:left="440" w:hanging="209"/>
        <w:spacing w:after="0"/>
        <w:tabs>
          <w:tab w:leader="none" w:pos="44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Hollister was paid $50,000 per month for his services as interim Chief Executive Officer and he also continued to earn compensation for his services as a non-employee director.</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Annual Performance-Based Awards</w:t>
      </w:r>
    </w:p>
    <w:p>
      <w:pPr>
        <w:spacing w:after="0" w:line="109"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During each fiscal year, the Compensation Committee evaluates our incentive compensation practices in light of the objectives of the compensation program. As a result of this evaluation, the Compensation Committee determined that it was appropriate for our named executive officers to be eligible to receive performance-based compensation upon the achievement of specified performance goals. In January 2022, the Compensation Committee determined to separate the performance-based awards into two plans: a Short-Term Incentive Plan and a Long-Term Incentive Plan. The Compensation Committee believes that by having separate plans it will be better able to structure incentives that align with shareholder interests and support retention.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Short-Term Incentive Plan (STIP)</w:t>
      </w:r>
    </w:p>
    <w:p>
      <w:pPr>
        <w:spacing w:after="0" w:line="154" w:lineRule="exact"/>
        <w:rPr>
          <w:sz w:val="20"/>
          <w:szCs w:val="20"/>
          <w:color w:val="auto"/>
        </w:rPr>
      </w:pPr>
    </w:p>
    <w:p>
      <w:pPr>
        <w:ind w:left="20" w:right="119"/>
        <w:spacing w:after="0" w:line="259" w:lineRule="auto"/>
        <w:rPr>
          <w:sz w:val="20"/>
          <w:szCs w:val="20"/>
          <w:color w:val="auto"/>
        </w:rPr>
      </w:pPr>
      <w:r>
        <w:rPr>
          <w:rFonts w:ascii="Times New Roman" w:cs="Times New Roman" w:eastAsia="Times New Roman" w:hAnsi="Times New Roman"/>
          <w:sz w:val="12"/>
          <w:szCs w:val="12"/>
          <w:color w:val="auto"/>
        </w:rPr>
        <w:t>The Short-Term Incentive Plan was established in fiscal year 2022 in order to align a portion of compensation with company performance. The STIP included several design changes for fiscal year 2022 compared to the prior fiscal year’s annual incentive awards as follows:</w:t>
      </w:r>
    </w:p>
    <w:p>
      <w:pPr>
        <w:spacing w:after="0" w:line="1" w:lineRule="exact"/>
        <w:rPr>
          <w:sz w:val="20"/>
          <w:szCs w:val="20"/>
          <w:color w:val="auto"/>
        </w:rPr>
      </w:pPr>
    </w:p>
    <w:p>
      <w:pPr>
        <w:ind w:left="440" w:right="99" w:hanging="209"/>
        <w:spacing w:after="0" w:line="213" w:lineRule="auto"/>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Compensation Committee replaced adjusted net income with Adjusted EBITDA</w:t>
      </w:r>
      <w:r>
        <w:rPr>
          <w:rFonts w:ascii="Times New Roman" w:cs="Times New Roman" w:eastAsia="Times New Roman" w:hAnsi="Times New Roman"/>
          <w:sz w:val="17"/>
          <w:szCs w:val="17"/>
          <w:u w:val="single" w:color="auto"/>
          <w:color w:val="0000EE"/>
          <w:vertAlign w:val="superscript"/>
        </w:rPr>
        <w:t>1</w:t>
      </w:r>
      <w:r>
        <w:rPr>
          <w:rFonts w:ascii="Times New Roman" w:cs="Times New Roman" w:eastAsia="Times New Roman" w:hAnsi="Times New Roman"/>
          <w:sz w:val="12"/>
          <w:szCs w:val="12"/>
          <w:color w:val="auto"/>
        </w:rPr>
        <w:t xml:space="preserve"> as the metric on which performance is measured, which better focuses the organization on profit enhancement, cash flow generation, and the longer term;</w:t>
      </w:r>
    </w:p>
    <w:p>
      <w:pPr>
        <w:spacing w:after="0" w:line="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Compensation Committee believes setting targets based on Adjusted EBITDA better aligns management’s incentives with operating performance;</w:t>
      </w:r>
    </w:p>
    <w:p>
      <w:pPr>
        <w:spacing w:after="0" w:line="6" w:lineRule="exact"/>
        <w:rPr>
          <w:rFonts w:ascii="Times New Roman" w:cs="Times New Roman" w:eastAsia="Times New Roman" w:hAnsi="Times New Roman"/>
          <w:sz w:val="12"/>
          <w:szCs w:val="12"/>
          <w:color w:val="auto"/>
        </w:rPr>
      </w:pPr>
    </w:p>
    <w:p>
      <w:pPr>
        <w:ind w:left="440" w:right="199" w:hanging="209"/>
        <w:spacing w:after="0" w:line="250" w:lineRule="auto"/>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financial measure, Adjusted EBITDA, will determine 80% of the payout to named executive officers (the EBITDA Component”) with the other 20% based on individual performance, over which the Compensation Committee has discretion to adjust on a case by case basis (the “Individual Component”);</w:t>
      </w: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potential restricted stock or RSU awards are moved to a new Long-Term Incentive Plan (described below);</w:t>
      </w:r>
    </w:p>
    <w:p>
      <w:pPr>
        <w:spacing w:after="0" w:line="6" w:lineRule="exact"/>
        <w:rPr>
          <w:rFonts w:ascii="Times New Roman" w:cs="Times New Roman" w:eastAsia="Times New Roman" w:hAnsi="Times New Roman"/>
          <w:sz w:val="12"/>
          <w:szCs w:val="12"/>
          <w:color w:val="auto"/>
        </w:rPr>
      </w:pPr>
    </w:p>
    <w:p>
      <w:pPr>
        <w:ind w:left="440" w:right="359" w:hanging="209"/>
        <w:spacing w:after="0" w:line="250" w:lineRule="auto"/>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eight bracketed levels of performance previously utilized in the fiscal year 2021 Annual Performance-Based Bonus were replaced by a threshold, target and maximum opportunity structure;</w:t>
      </w:r>
    </w:p>
    <w:p>
      <w:pPr>
        <w:ind w:left="440" w:right="279" w:hanging="209"/>
        <w:spacing w:after="0" w:line="229" w:lineRule="auto"/>
        <w:tabs>
          <w:tab w:leader="none" w:pos="4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EBITDA Component, if the threshold Adjusted EBITDA threshold is not met, then no STIP awards are paid irrespective of the Individual Component performance</w:t>
      </w:r>
      <w:r>
        <w:rPr>
          <w:rFonts w:ascii="Times New Roman" w:cs="Times New Roman" w:eastAsia="Times New Roman" w:hAnsi="Times New Roman"/>
          <w:sz w:val="16"/>
          <w:szCs w:val="16"/>
          <w:u w:val="single" w:color="auto"/>
          <w:color w:val="0000EE"/>
          <w:vertAlign w:val="superscript"/>
        </w:rPr>
        <w:t>2</w:t>
      </w:r>
      <w:r>
        <w:rPr>
          <w:rFonts w:ascii="Times New Roman" w:cs="Times New Roman" w:eastAsia="Times New Roman" w:hAnsi="Times New Roman"/>
          <w:sz w:val="11"/>
          <w:szCs w:val="11"/>
          <w:color w:val="auto"/>
        </w:rPr>
        <w:t>. Linear interpolation will be applied to the EBITDA Component for performance that falls between the threshold, target and maximum Adjusted EBITDA goals.</w:t>
      </w: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Awards under the 2022 STIP are capped at 200% of target for the EBITDA Component and 100% of target for the Individual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300990</wp:posOffset>
            </wp:positionV>
            <wp:extent cx="142875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0" w:hanging="85"/>
        <w:spacing w:after="0"/>
        <w:tabs>
          <w:tab w:leader="none" w:pos="10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n</w:t>
      </w:r>
      <w:r>
        <w:rPr>
          <w:rFonts w:ascii="Times New Roman" w:cs="Times New Roman" w:eastAsia="Times New Roman" w:hAnsi="Times New Roman"/>
          <w:sz w:val="9"/>
          <w:szCs w:val="9"/>
          <w:color w:val="auto"/>
        </w:rPr>
        <w:t>on-GAAP measures adjusted EBITDA is not prepared in accordance with U.S. generally accepted accounting principles, or “GAAP.”</w:t>
      </w:r>
    </w:p>
    <w:p>
      <w:pPr>
        <w:spacing w:after="0" w:line="85" w:lineRule="exact"/>
        <w:rPr>
          <w:sz w:val="20"/>
          <w:szCs w:val="20"/>
          <w:color w:val="auto"/>
        </w:rPr>
      </w:pPr>
    </w:p>
    <w:p>
      <w:pPr>
        <w:ind w:left="20" w:right="19"/>
        <w:spacing w:after="0" w:line="216" w:lineRule="auto"/>
        <w:rPr>
          <w:sz w:val="20"/>
          <w:szCs w:val="20"/>
          <w:color w:val="auto"/>
        </w:rPr>
      </w:pPr>
      <w:r>
        <w:rPr>
          <w:rFonts w:ascii="Times New Roman" w:cs="Times New Roman" w:eastAsia="Times New Roman" w:hAnsi="Times New Roman"/>
          <w:sz w:val="10"/>
          <w:szCs w:val="10"/>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Items are considered one-time in nature if they are non-recurring, infrequent or unusual and have not occurred in the past two years or are not expected to recur in the next two years, in accordance with SEC rules.</w:t>
      </w:r>
    </w:p>
    <w:p>
      <w:pPr>
        <w:spacing w:after="0" w:line="83" w:lineRule="exact"/>
        <w:rPr>
          <w:sz w:val="20"/>
          <w:szCs w:val="20"/>
          <w:color w:val="auto"/>
        </w:rPr>
      </w:pPr>
    </w:p>
    <w:p>
      <w:pPr>
        <w:ind w:left="20" w:right="179"/>
        <w:spacing w:after="0" w:line="232" w:lineRule="auto"/>
        <w:rPr>
          <w:sz w:val="20"/>
          <w:szCs w:val="20"/>
          <w:color w:val="auto"/>
        </w:rPr>
      </w:pPr>
      <w:r>
        <w:rPr>
          <w:rFonts w:ascii="Times New Roman" w:cs="Times New Roman" w:eastAsia="Times New Roman" w:hAnsi="Times New Roman"/>
          <w:sz w:val="10"/>
          <w:szCs w:val="10"/>
          <w:color w:val="auto"/>
        </w:rPr>
        <w:t>The way the Company measures EBITDA, adjusted EBITDA, and adjusted net income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Fiscal Year 2022 Potential STIP Compensation and Goals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2022 fiscal year, each named executive officer listed below was eligible to receive a performance-based cash bonus according to the following schedule:</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860" w:type="dxa"/>
            <w:vAlign w:val="bottom"/>
            <w:tcBorders>
              <w:top w:val="single" w:sz="8" w:color="DCE6F2"/>
            </w:tcBorders>
            <w:gridSpan w:val="3"/>
          </w:tcPr>
          <w:p>
            <w:pPr>
              <w:spacing w:after="0" w:line="92" w:lineRule="exact"/>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2240" w:type="dxa"/>
            <w:vAlign w:val="bottom"/>
            <w:tcBorders>
              <w:top w:val="single" w:sz="8" w:color="DCE6F2"/>
            </w:tcBorders>
            <w:gridSpan w:val="2"/>
          </w:tcPr>
          <w:p>
            <w:pPr>
              <w:jc w:val="center"/>
              <w:ind w:right="180"/>
              <w:spacing w:after="0" w:line="92" w:lineRule="exact"/>
              <w:rPr>
                <w:sz w:val="20"/>
                <w:szCs w:val="20"/>
                <w:color w:val="auto"/>
              </w:rPr>
            </w:pPr>
            <w:r>
              <w:rPr>
                <w:rFonts w:ascii="Times New Roman" w:cs="Times New Roman" w:eastAsia="Times New Roman" w:hAnsi="Times New Roman"/>
                <w:sz w:val="10"/>
                <w:szCs w:val="10"/>
                <w:b w:val="1"/>
                <w:bCs w:val="1"/>
                <w:color w:val="auto"/>
                <w:w w:val="89"/>
              </w:rPr>
              <w:t>Target</w:t>
            </w:r>
          </w:p>
        </w:tc>
        <w:tc>
          <w:tcPr>
            <w:tcW w:w="1320" w:type="dxa"/>
            <w:vAlign w:val="bottom"/>
            <w:tcBorders>
              <w:top w:val="single" w:sz="8" w:color="DCE6F2"/>
            </w:tcBorders>
            <w:gridSpan w:val="2"/>
          </w:tcPr>
          <w:p>
            <w:pPr>
              <w:jc w:val="center"/>
              <w:ind w:right="180"/>
              <w:spacing w:after="0" w:line="92" w:lineRule="exact"/>
              <w:rPr>
                <w:sz w:val="20"/>
                <w:szCs w:val="20"/>
                <w:color w:val="auto"/>
              </w:rPr>
            </w:pPr>
            <w:r>
              <w:rPr>
                <w:rFonts w:ascii="Times New Roman" w:cs="Times New Roman" w:eastAsia="Times New Roman" w:hAnsi="Times New Roman"/>
                <w:sz w:val="10"/>
                <w:szCs w:val="10"/>
                <w:b w:val="1"/>
                <w:bCs w:val="1"/>
                <w:color w:val="auto"/>
                <w:w w:val="95"/>
              </w:rPr>
              <w:t>Payout at Performance</w:t>
            </w:r>
          </w:p>
        </w:tc>
        <w:tc>
          <w:tcPr>
            <w:tcW w:w="1340" w:type="dxa"/>
            <w:vAlign w:val="bottom"/>
            <w:tcBorders>
              <w:top w:val="single" w:sz="8" w:color="DCE6F2"/>
            </w:tcBorders>
            <w:gridSpan w:val="2"/>
          </w:tcPr>
          <w:p>
            <w:pPr>
              <w:jc w:val="center"/>
              <w:ind w:right="200"/>
              <w:spacing w:after="0" w:line="92" w:lineRule="exact"/>
              <w:rPr>
                <w:sz w:val="20"/>
                <w:szCs w:val="20"/>
                <w:color w:val="auto"/>
              </w:rPr>
            </w:pPr>
            <w:r>
              <w:rPr>
                <w:rFonts w:ascii="Times New Roman" w:cs="Times New Roman" w:eastAsia="Times New Roman" w:hAnsi="Times New Roman"/>
                <w:sz w:val="10"/>
                <w:szCs w:val="10"/>
                <w:b w:val="1"/>
                <w:bCs w:val="1"/>
                <w:color w:val="auto"/>
                <w:w w:val="95"/>
              </w:rPr>
              <w:t>Payout at Performance</w:t>
            </w:r>
          </w:p>
        </w:tc>
        <w:tc>
          <w:tcPr>
            <w:tcW w:w="1200" w:type="dxa"/>
            <w:vAlign w:val="bottom"/>
            <w:tcBorders>
              <w:top w:val="single" w:sz="8" w:color="DCE6F2"/>
            </w:tcBorders>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7"/>
              </w:rPr>
              <w:t>Payout at Performance</w:t>
            </w:r>
          </w:p>
        </w:tc>
      </w:tr>
      <w:tr>
        <w:trPr>
          <w:trHeight w:val="115"/>
        </w:trPr>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except as specified)</w:t>
            </w:r>
          </w:p>
        </w:tc>
        <w:tc>
          <w:tcPr>
            <w:tcW w:w="180" w:type="dxa"/>
            <w:vAlign w:val="bottom"/>
            <w:tcBorders>
              <w:bottom w:val="single" w:sz="8" w:color="CCFFEE"/>
            </w:tcBorders>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Bonus (% of Base Salary)</w:t>
            </w:r>
          </w:p>
        </w:tc>
        <w:tc>
          <w:tcPr>
            <w:tcW w:w="200" w:type="dxa"/>
            <w:vAlign w:val="bottom"/>
            <w:tcBorders>
              <w:bottom w:val="single" w:sz="8" w:color="CCFFEE"/>
            </w:tcBorders>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Threshold ($)</w:t>
            </w:r>
          </w:p>
        </w:tc>
        <w:tc>
          <w:tcPr>
            <w:tcW w:w="200" w:type="dxa"/>
            <w:vAlign w:val="bottom"/>
            <w:tcBorders>
              <w:bottom w:val="single" w:sz="8" w:color="CCFFEE"/>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Target ($)</w:t>
            </w:r>
          </w:p>
        </w:tc>
        <w:tc>
          <w:tcPr>
            <w:tcW w:w="200" w:type="dxa"/>
            <w:vAlign w:val="bottom"/>
            <w:tcBorders>
              <w:bottom w:val="single" w:sz="8" w:color="CCFFEE"/>
            </w:tcBorders>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Maximum ($)</w:t>
            </w:r>
          </w:p>
        </w:tc>
      </w:tr>
      <w:tr>
        <w:trPr>
          <w:trHeight w:val="151"/>
        </w:trPr>
        <w:tc>
          <w:tcPr>
            <w:tcW w:w="286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2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200" w:type="dxa"/>
            <w:vAlign w:val="bottom"/>
            <w:shd w:val="clear" w:color="auto" w:fill="CCFFEE"/>
          </w:tcPr>
          <w:p>
            <w:pPr>
              <w:spacing w:after="0"/>
              <w:rPr>
                <w:sz w:val="13"/>
                <w:szCs w:val="13"/>
                <w:color w:val="auto"/>
              </w:rPr>
            </w:pPr>
          </w:p>
        </w:tc>
        <w:tc>
          <w:tcPr>
            <w:tcW w:w="11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7"/>
              </w:rPr>
              <w:t>400,000</w:t>
            </w:r>
          </w:p>
        </w:tc>
        <w:tc>
          <w:tcPr>
            <w:tcW w:w="200" w:type="dxa"/>
            <w:vAlign w:val="bottom"/>
            <w:shd w:val="clear" w:color="auto" w:fill="CCFFEE"/>
          </w:tcPr>
          <w:p>
            <w:pPr>
              <w:spacing w:after="0"/>
              <w:rPr>
                <w:sz w:val="13"/>
                <w:szCs w:val="13"/>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7"/>
              </w:rPr>
              <w:t>800,000</w:t>
            </w:r>
          </w:p>
        </w:tc>
        <w:tc>
          <w:tcPr>
            <w:tcW w:w="200" w:type="dxa"/>
            <w:vAlign w:val="bottom"/>
            <w:shd w:val="clear" w:color="auto" w:fill="CCFFEE"/>
          </w:tcPr>
          <w:p>
            <w:pPr>
              <w:spacing w:after="0"/>
              <w:rPr>
                <w:sz w:val="13"/>
                <w:szCs w:val="13"/>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1,440,000</w:t>
            </w:r>
          </w:p>
        </w:tc>
      </w:tr>
      <w:tr>
        <w:trPr>
          <w:trHeight w:val="171"/>
        </w:trPr>
        <w:tc>
          <w:tcPr>
            <w:tcW w:w="2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Shawn Munsell *</w:t>
            </w: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41,500</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103,750</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186,750</w:t>
            </w:r>
          </w:p>
        </w:tc>
      </w:tr>
      <w:tr>
        <w:trPr>
          <w:trHeight w:val="171"/>
        </w:trPr>
        <w:tc>
          <w:tcPr>
            <w:tcW w:w="286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2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200" w:type="dxa"/>
            <w:vAlign w:val="bottom"/>
            <w:shd w:val="clear" w:color="auto" w:fill="CCFFEE"/>
          </w:tcPr>
          <w:p>
            <w:pPr>
              <w:spacing w:after="0"/>
              <w:rPr>
                <w:sz w:val="14"/>
                <w:szCs w:val="14"/>
                <w:color w:val="auto"/>
              </w:rPr>
            </w:pPr>
          </w:p>
        </w:tc>
        <w:tc>
          <w:tcPr>
            <w:tcW w:w="11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56,000</w:t>
            </w:r>
          </w:p>
        </w:tc>
        <w:tc>
          <w:tcPr>
            <w:tcW w:w="20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7"/>
              </w:rPr>
              <w:t>140,000</w:t>
            </w:r>
          </w:p>
        </w:tc>
        <w:tc>
          <w:tcPr>
            <w:tcW w:w="200" w:type="dxa"/>
            <w:vAlign w:val="bottom"/>
            <w:shd w:val="clear" w:color="auto" w:fill="CCFFEE"/>
          </w:tcPr>
          <w:p>
            <w:pPr>
              <w:spacing w:after="0"/>
              <w:rPr>
                <w:sz w:val="14"/>
                <w:szCs w:val="14"/>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252,000</w:t>
            </w:r>
          </w:p>
        </w:tc>
      </w:tr>
      <w:tr>
        <w:trPr>
          <w:trHeight w:val="171"/>
        </w:trPr>
        <w:tc>
          <w:tcPr>
            <w:tcW w:w="2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Danny Dumas *</w:t>
            </w: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27,667</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69,167</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124,500</w:t>
            </w:r>
          </w:p>
        </w:tc>
      </w:tr>
      <w:tr>
        <w:trPr>
          <w:trHeight w:val="171"/>
        </w:trPr>
        <w:tc>
          <w:tcPr>
            <w:tcW w:w="286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Helen Kurtz **</w:t>
            </w:r>
          </w:p>
        </w:tc>
        <w:tc>
          <w:tcPr>
            <w:tcW w:w="2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200" w:type="dxa"/>
            <w:vAlign w:val="bottom"/>
            <w:shd w:val="clear" w:color="auto" w:fill="CCFFEE"/>
          </w:tcPr>
          <w:p>
            <w:pPr>
              <w:spacing w:after="0"/>
              <w:rPr>
                <w:sz w:val="14"/>
                <w:szCs w:val="14"/>
                <w:color w:val="auto"/>
              </w:rPr>
            </w:pPr>
          </w:p>
        </w:tc>
        <w:tc>
          <w:tcPr>
            <w:tcW w:w="11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15,000</w:t>
            </w:r>
          </w:p>
        </w:tc>
        <w:tc>
          <w:tcPr>
            <w:tcW w:w="20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15,000</w:t>
            </w:r>
          </w:p>
        </w:tc>
        <w:tc>
          <w:tcPr>
            <w:tcW w:w="200" w:type="dxa"/>
            <w:vAlign w:val="bottom"/>
            <w:shd w:val="clear" w:color="auto" w:fill="CCFFEE"/>
          </w:tcPr>
          <w:p>
            <w:pPr>
              <w:spacing w:after="0"/>
              <w:rPr>
                <w:sz w:val="14"/>
                <w:szCs w:val="14"/>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15,000</w:t>
            </w:r>
          </w:p>
        </w:tc>
      </w:tr>
      <w:tr>
        <w:trPr>
          <w:trHeight w:val="171"/>
        </w:trPr>
        <w:tc>
          <w:tcPr>
            <w:tcW w:w="2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Robert Wedin</w:t>
            </w: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86,000</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215,000</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387,000</w:t>
            </w:r>
          </w:p>
        </w:tc>
      </w:tr>
      <w:tr>
        <w:trPr>
          <w:trHeight w:val="171"/>
        </w:trPr>
        <w:tc>
          <w:tcPr>
            <w:tcW w:w="286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2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200" w:type="dxa"/>
            <w:vAlign w:val="bottom"/>
            <w:shd w:val="clear" w:color="auto" w:fill="CCFFEE"/>
          </w:tcPr>
          <w:p>
            <w:pPr>
              <w:spacing w:after="0"/>
              <w:rPr>
                <w:sz w:val="14"/>
                <w:szCs w:val="14"/>
                <w:color w:val="auto"/>
              </w:rPr>
            </w:pPr>
          </w:p>
        </w:tc>
        <w:tc>
          <w:tcPr>
            <w:tcW w:w="11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68,800</w:t>
            </w:r>
          </w:p>
        </w:tc>
        <w:tc>
          <w:tcPr>
            <w:tcW w:w="20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7"/>
              </w:rPr>
              <w:t>172,000</w:t>
            </w:r>
          </w:p>
        </w:tc>
        <w:tc>
          <w:tcPr>
            <w:tcW w:w="200" w:type="dxa"/>
            <w:vAlign w:val="bottom"/>
            <w:shd w:val="clear" w:color="auto" w:fill="CCFFEE"/>
          </w:tcPr>
          <w:p>
            <w:pPr>
              <w:spacing w:after="0"/>
              <w:rPr>
                <w:sz w:val="14"/>
                <w:szCs w:val="14"/>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309,600</w:t>
            </w:r>
          </w:p>
        </w:tc>
      </w:tr>
      <w:tr>
        <w:trPr>
          <w:trHeight w:val="72"/>
        </w:trPr>
        <w:tc>
          <w:tcPr>
            <w:tcW w:w="22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r>
    </w:tbl>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 Cash bonuses for Shawn Munsell and Danny Dumas were pro-rated based on the percentage of fiscal year 2022 that they were employed at Calavo.</w:t>
      </w:r>
    </w:p>
    <w:p>
      <w:pPr>
        <w:ind w:left="20"/>
        <w:spacing w:after="0" w:line="236" w:lineRule="auto"/>
        <w:rPr>
          <w:sz w:val="20"/>
          <w:szCs w:val="20"/>
          <w:color w:val="auto"/>
        </w:rPr>
      </w:pPr>
      <w:r>
        <w:rPr>
          <w:rFonts w:ascii="Times New Roman" w:cs="Times New Roman" w:eastAsia="Times New Roman" w:hAnsi="Times New Roman"/>
          <w:sz w:val="10"/>
          <w:szCs w:val="10"/>
          <w:color w:val="auto"/>
        </w:rPr>
        <w:t>** Helen Kurtz joined Calavo after the deadline for participation in the fiscal year 2022 STIP. The Compensation Committee awarded her a discretionary bonus of $15,000.</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Note: Illustration of payout at each of Threshold, Target, and Maximum includes the Individual Component at 100%, regardless of performance on the EBITDA Target and the EBITDA Component at its respective level.</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fiscal year 2022, the Adjusted EBITDA goals were $35 million, $60 million, and $80 million for the threshold, target, and maximum potential award payouts, respectively.</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Fiscal Year 2022 Results</w:t>
      </w:r>
    </w:p>
    <w:p>
      <w:pPr>
        <w:spacing w:after="0" w:line="152"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Our EBITDA for fiscal 2022 was $17.9 million. Excluding certain items, Adjusted EBITDA in fiscal 2022 was $35.1 million. The Compensation Committee concluded bonuses should be awarded to each executive officer equal to the above performance threshold after taking into account that 2022 Adjusted EBITDA exceeded the $35.0 million threshold target.</w:t>
      </w:r>
    </w:p>
    <w:p>
      <w:pPr>
        <w:spacing w:after="0" w:line="111" w:lineRule="exact"/>
        <w:rPr>
          <w:sz w:val="20"/>
          <w:szCs w:val="20"/>
          <w:color w:val="auto"/>
        </w:rPr>
      </w:pPr>
    </w:p>
    <w:p>
      <w:pPr>
        <w:ind w:left="20" w:right="119"/>
        <w:spacing w:after="0" w:line="265" w:lineRule="auto"/>
        <w:rPr>
          <w:sz w:val="20"/>
          <w:szCs w:val="20"/>
          <w:color w:val="auto"/>
        </w:rPr>
      </w:pPr>
      <w:r>
        <w:rPr>
          <w:rFonts w:ascii="Times New Roman" w:cs="Times New Roman" w:eastAsia="Times New Roman" w:hAnsi="Times New Roman"/>
          <w:sz w:val="12"/>
          <w:szCs w:val="12"/>
          <w:color w:val="auto"/>
        </w:rPr>
        <w:t>On November 3, 2022, Brian Kocher entered into an amendment to his employment agreement, which provided that $100,000 of his earned STIP cash bonus for fiscal 2022 would instead be paid with $100,000 of vested Calavo common stock. On December 22, 2022, Mr. Kocher was granted 3,321 shares of vested common stock under the 2020 Plan. The closing share price of our stock at the grant date was $30.12.</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Compensation Committee therefore awarded the following cash bonuses under the STIP to the named executive officers for fiscal 2022:</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5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Executive Officer</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jc w:val="right"/>
              <w:ind w:right="703"/>
              <w:spacing w:after="0"/>
              <w:rPr>
                <w:sz w:val="20"/>
                <w:szCs w:val="20"/>
                <w:color w:val="auto"/>
              </w:rPr>
            </w:pPr>
            <w:r>
              <w:rPr>
                <w:rFonts w:ascii="Times New Roman" w:cs="Times New Roman" w:eastAsia="Times New Roman" w:hAnsi="Times New Roman"/>
                <w:sz w:val="10"/>
                <w:szCs w:val="10"/>
                <w:b w:val="1"/>
                <w:bCs w:val="1"/>
                <w:color w:val="auto"/>
              </w:rPr>
              <w:t>STIP Cash Bonus</w:t>
            </w:r>
          </w:p>
        </w:tc>
        <w:tc>
          <w:tcPr>
            <w:tcW w:w="0" w:type="dxa"/>
            <w:vAlign w:val="bottom"/>
          </w:tcPr>
          <w:p>
            <w:pPr>
              <w:spacing w:after="0"/>
              <w:rPr>
                <w:sz w:val="1"/>
                <w:szCs w:val="1"/>
                <w:color w:val="auto"/>
              </w:rPr>
            </w:pPr>
          </w:p>
        </w:tc>
      </w:tr>
      <w:tr>
        <w:trPr>
          <w:trHeight w:val="115"/>
        </w:trPr>
        <w:tc>
          <w:tcPr>
            <w:tcW w:w="654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CCFFEE"/>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for Fiscal 2022</w:t>
            </w:r>
          </w:p>
        </w:tc>
        <w:tc>
          <w:tcPr>
            <w:tcW w:w="0" w:type="dxa"/>
            <w:vAlign w:val="bottom"/>
          </w:tcPr>
          <w:p>
            <w:pPr>
              <w:spacing w:after="0"/>
              <w:rPr>
                <w:sz w:val="1"/>
                <w:szCs w:val="1"/>
                <w:color w:val="auto"/>
              </w:rPr>
            </w:pPr>
          </w:p>
        </w:tc>
      </w:tr>
      <w:tr>
        <w:trPr>
          <w:trHeight w:val="133"/>
        </w:trPr>
        <w:tc>
          <w:tcPr>
            <w:tcW w:w="6540" w:type="dxa"/>
            <w:vAlign w:val="bottom"/>
            <w:shd w:val="clear" w:color="auto" w:fill="CCFFEE"/>
          </w:tcPr>
          <w:p>
            <w:pPr>
              <w:jc w:val="center"/>
              <w:spacing w:after="0" w:line="133" w:lineRule="exact"/>
              <w:rPr>
                <w:sz w:val="20"/>
                <w:szCs w:val="20"/>
                <w:color w:val="auto"/>
              </w:rPr>
            </w:pPr>
            <w:r>
              <w:rPr>
                <w:rFonts w:ascii="Times New Roman" w:cs="Times New Roman" w:eastAsia="Times New Roman" w:hAnsi="Times New Roman"/>
                <w:sz w:val="12"/>
                <w:szCs w:val="12"/>
                <w:color w:val="auto"/>
              </w:rPr>
              <w:t>Brian Kocher</w:t>
            </w:r>
          </w:p>
        </w:tc>
        <w:tc>
          <w:tcPr>
            <w:tcW w:w="200" w:type="dxa"/>
            <w:vAlign w:val="bottom"/>
            <w:shd w:val="clear" w:color="auto" w:fill="CCFFEE"/>
          </w:tcPr>
          <w:p>
            <w:pPr>
              <w:spacing w:after="0"/>
              <w:rPr>
                <w:sz w:val="11"/>
                <w:szCs w:val="11"/>
                <w:color w:val="auto"/>
              </w:rPr>
            </w:pPr>
          </w:p>
        </w:tc>
        <w:tc>
          <w:tcPr>
            <w:tcW w:w="400" w:type="dxa"/>
            <w:vAlign w:val="bottom"/>
            <w:shd w:val="clear" w:color="auto" w:fill="CCFFEE"/>
          </w:tcPr>
          <w:p>
            <w:pPr>
              <w:jc w:val="right"/>
              <w:ind w:right="336"/>
              <w:spacing w:after="0"/>
              <w:rPr>
                <w:sz w:val="20"/>
                <w:szCs w:val="20"/>
                <w:color w:val="auto"/>
              </w:rPr>
            </w:pPr>
            <w:r>
              <w:rPr>
                <w:rFonts w:ascii="Times New Roman" w:cs="Times New Roman" w:eastAsia="Times New Roman" w:hAnsi="Times New Roman"/>
                <w:sz w:val="5"/>
                <w:szCs w:val="5"/>
                <w:color w:val="auto"/>
                <w:w w:val="78"/>
              </w:rPr>
              <w:t>$</w:t>
            </w:r>
          </w:p>
        </w:tc>
        <w:tc>
          <w:tcPr>
            <w:tcW w:w="1840" w:type="dxa"/>
            <w:vAlign w:val="bottom"/>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300,000</w:t>
            </w:r>
          </w:p>
        </w:tc>
        <w:tc>
          <w:tcPr>
            <w:tcW w:w="0" w:type="dxa"/>
            <w:vAlign w:val="bottom"/>
          </w:tcPr>
          <w:p>
            <w:pPr>
              <w:spacing w:after="0"/>
              <w:rPr>
                <w:sz w:val="1"/>
                <w:szCs w:val="1"/>
                <w:color w:val="auto"/>
              </w:rPr>
            </w:pPr>
          </w:p>
        </w:tc>
      </w:tr>
      <w:tr>
        <w:trPr>
          <w:trHeight w:val="144"/>
        </w:trPr>
        <w:tc>
          <w:tcPr>
            <w:tcW w:w="6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Shawn Munsell</w:t>
            </w: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41,500</w:t>
            </w:r>
          </w:p>
        </w:tc>
        <w:tc>
          <w:tcPr>
            <w:tcW w:w="0" w:type="dxa"/>
            <w:vAlign w:val="bottom"/>
          </w:tcPr>
          <w:p>
            <w:pPr>
              <w:spacing w:after="0"/>
              <w:rPr>
                <w:sz w:val="1"/>
                <w:szCs w:val="1"/>
                <w:color w:val="auto"/>
              </w:rPr>
            </w:pPr>
          </w:p>
        </w:tc>
      </w:tr>
      <w:tr>
        <w:trPr>
          <w:trHeight w:val="144"/>
        </w:trPr>
        <w:tc>
          <w:tcPr>
            <w:tcW w:w="65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Graciela Montgomery</w:t>
            </w:r>
          </w:p>
        </w:tc>
        <w:tc>
          <w:tcPr>
            <w:tcW w:w="600" w:type="dxa"/>
            <w:vAlign w:val="bottom"/>
            <w:gridSpan w:val="2"/>
            <w:shd w:val="clear" w:color="auto" w:fill="CCFFEE"/>
          </w:tcPr>
          <w:p>
            <w:pPr>
              <w:jc w:val="right"/>
              <w:ind w:right="336"/>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56,000</w:t>
            </w:r>
          </w:p>
        </w:tc>
        <w:tc>
          <w:tcPr>
            <w:tcW w:w="0" w:type="dxa"/>
            <w:vAlign w:val="bottom"/>
          </w:tcPr>
          <w:p>
            <w:pPr>
              <w:spacing w:after="0"/>
              <w:rPr>
                <w:sz w:val="1"/>
                <w:szCs w:val="1"/>
                <w:color w:val="auto"/>
              </w:rPr>
            </w:pPr>
          </w:p>
        </w:tc>
      </w:tr>
      <w:tr>
        <w:trPr>
          <w:trHeight w:val="144"/>
        </w:trPr>
        <w:tc>
          <w:tcPr>
            <w:tcW w:w="6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Danny Dumas</w:t>
            </w: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27,667</w:t>
            </w:r>
          </w:p>
        </w:tc>
        <w:tc>
          <w:tcPr>
            <w:tcW w:w="0" w:type="dxa"/>
            <w:vAlign w:val="bottom"/>
          </w:tcPr>
          <w:p>
            <w:pPr>
              <w:spacing w:after="0"/>
              <w:rPr>
                <w:sz w:val="1"/>
                <w:szCs w:val="1"/>
                <w:color w:val="auto"/>
              </w:rPr>
            </w:pPr>
          </w:p>
        </w:tc>
      </w:tr>
      <w:tr>
        <w:trPr>
          <w:trHeight w:val="144"/>
        </w:trPr>
        <w:tc>
          <w:tcPr>
            <w:tcW w:w="65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8"/>
              </w:rPr>
              <w:t>Helen Kurtz</w:t>
            </w:r>
          </w:p>
        </w:tc>
        <w:tc>
          <w:tcPr>
            <w:tcW w:w="600" w:type="dxa"/>
            <w:vAlign w:val="bottom"/>
            <w:gridSpan w:val="2"/>
            <w:shd w:val="clear" w:color="auto" w:fill="CCFFEE"/>
          </w:tcPr>
          <w:p>
            <w:pPr>
              <w:jc w:val="right"/>
              <w:ind w:right="336"/>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0" w:type="dxa"/>
            <w:vAlign w:val="bottom"/>
          </w:tcPr>
          <w:p>
            <w:pPr>
              <w:spacing w:after="0"/>
              <w:rPr>
                <w:sz w:val="1"/>
                <w:szCs w:val="1"/>
                <w:color w:val="auto"/>
              </w:rPr>
            </w:pPr>
          </w:p>
        </w:tc>
      </w:tr>
      <w:tr>
        <w:trPr>
          <w:trHeight w:val="144"/>
        </w:trPr>
        <w:tc>
          <w:tcPr>
            <w:tcW w:w="6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Robert Wedin*</w:t>
            </w: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77,400</w:t>
            </w:r>
          </w:p>
        </w:tc>
        <w:tc>
          <w:tcPr>
            <w:tcW w:w="0" w:type="dxa"/>
            <w:vAlign w:val="bottom"/>
          </w:tcPr>
          <w:p>
            <w:pPr>
              <w:spacing w:after="0"/>
              <w:rPr>
                <w:sz w:val="1"/>
                <w:szCs w:val="1"/>
                <w:color w:val="auto"/>
              </w:rPr>
            </w:pPr>
          </w:p>
        </w:tc>
      </w:tr>
      <w:tr>
        <w:trPr>
          <w:trHeight w:val="144"/>
        </w:trPr>
        <w:tc>
          <w:tcPr>
            <w:tcW w:w="65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7"/>
              </w:rPr>
              <w:t>Ronald Araiza*</w:t>
            </w:r>
          </w:p>
        </w:tc>
        <w:tc>
          <w:tcPr>
            <w:tcW w:w="600" w:type="dxa"/>
            <w:vAlign w:val="bottom"/>
            <w:gridSpan w:val="2"/>
            <w:shd w:val="clear" w:color="auto" w:fill="CCFFEE"/>
          </w:tcPr>
          <w:p>
            <w:pPr>
              <w:jc w:val="right"/>
              <w:ind w:right="336"/>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55,040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 Robert Wedin and Ronald Araiza were paid on a pro-rata basis, based on the time they served as executive officers of Calavo during fiscal year 2022.</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Fiscal Year 2023 Potential STIP Compensation and Goals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2023 fiscal year, the Compensation Committee approved potential STIP cash bonus opportunities for the named executive officers listed below:</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880" w:type="dxa"/>
            <w:vAlign w:val="bottom"/>
            <w:tcBorders>
              <w:top w:val="single" w:sz="8" w:color="DCE6F2"/>
            </w:tcBorders>
            <w:gridSpan w:val="3"/>
          </w:tcPr>
          <w:p>
            <w:pPr>
              <w:spacing w:after="0" w:line="92" w:lineRule="exact"/>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2220" w:type="dxa"/>
            <w:vAlign w:val="bottom"/>
            <w:tcBorders>
              <w:top w:val="single" w:sz="8" w:color="DCE6F2"/>
            </w:tcBorders>
            <w:gridSpan w:val="2"/>
          </w:tcPr>
          <w:p>
            <w:pPr>
              <w:jc w:val="center"/>
              <w:ind w:right="200"/>
              <w:spacing w:after="0" w:line="92" w:lineRule="exact"/>
              <w:rPr>
                <w:sz w:val="20"/>
                <w:szCs w:val="20"/>
                <w:color w:val="auto"/>
              </w:rPr>
            </w:pPr>
            <w:r>
              <w:rPr>
                <w:rFonts w:ascii="Times New Roman" w:cs="Times New Roman" w:eastAsia="Times New Roman" w:hAnsi="Times New Roman"/>
                <w:sz w:val="10"/>
                <w:szCs w:val="10"/>
                <w:b w:val="1"/>
                <w:bCs w:val="1"/>
                <w:color w:val="auto"/>
                <w:w w:val="89"/>
              </w:rPr>
              <w:t>Target</w:t>
            </w:r>
          </w:p>
        </w:tc>
        <w:tc>
          <w:tcPr>
            <w:tcW w:w="1320" w:type="dxa"/>
            <w:vAlign w:val="bottom"/>
            <w:tcBorders>
              <w:top w:val="single" w:sz="8" w:color="DCE6F2"/>
            </w:tcBorders>
            <w:gridSpan w:val="2"/>
          </w:tcPr>
          <w:p>
            <w:pPr>
              <w:jc w:val="center"/>
              <w:ind w:right="180"/>
              <w:spacing w:after="0" w:line="92" w:lineRule="exact"/>
              <w:rPr>
                <w:sz w:val="20"/>
                <w:szCs w:val="20"/>
                <w:color w:val="auto"/>
              </w:rPr>
            </w:pPr>
            <w:r>
              <w:rPr>
                <w:rFonts w:ascii="Times New Roman" w:cs="Times New Roman" w:eastAsia="Times New Roman" w:hAnsi="Times New Roman"/>
                <w:sz w:val="10"/>
                <w:szCs w:val="10"/>
                <w:b w:val="1"/>
                <w:bCs w:val="1"/>
                <w:color w:val="auto"/>
                <w:w w:val="95"/>
              </w:rPr>
              <w:t>Payout at Performance</w:t>
            </w:r>
          </w:p>
        </w:tc>
        <w:tc>
          <w:tcPr>
            <w:tcW w:w="1340" w:type="dxa"/>
            <w:vAlign w:val="bottom"/>
            <w:tcBorders>
              <w:top w:val="single" w:sz="8" w:color="DCE6F2"/>
            </w:tcBorders>
            <w:gridSpan w:val="2"/>
          </w:tcPr>
          <w:p>
            <w:pPr>
              <w:jc w:val="center"/>
              <w:ind w:right="200"/>
              <w:spacing w:after="0" w:line="92" w:lineRule="exact"/>
              <w:rPr>
                <w:sz w:val="20"/>
                <w:szCs w:val="20"/>
                <w:color w:val="auto"/>
              </w:rPr>
            </w:pPr>
            <w:r>
              <w:rPr>
                <w:rFonts w:ascii="Times New Roman" w:cs="Times New Roman" w:eastAsia="Times New Roman" w:hAnsi="Times New Roman"/>
                <w:sz w:val="10"/>
                <w:szCs w:val="10"/>
                <w:b w:val="1"/>
                <w:bCs w:val="1"/>
                <w:color w:val="auto"/>
                <w:w w:val="95"/>
              </w:rPr>
              <w:t>Payout at Performance</w:t>
            </w:r>
          </w:p>
        </w:tc>
        <w:tc>
          <w:tcPr>
            <w:tcW w:w="1220" w:type="dxa"/>
            <w:vAlign w:val="bottom"/>
            <w:tcBorders>
              <w:top w:val="single" w:sz="8" w:color="DCE6F2"/>
            </w:tcBorders>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7"/>
              </w:rPr>
              <w:t>Payout at Performance</w:t>
            </w:r>
          </w:p>
        </w:tc>
      </w:tr>
      <w:tr>
        <w:trPr>
          <w:trHeight w:val="115"/>
        </w:trPr>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except as specified)</w:t>
            </w:r>
          </w:p>
        </w:tc>
        <w:tc>
          <w:tcPr>
            <w:tcW w:w="200" w:type="dxa"/>
            <w:vAlign w:val="bottom"/>
            <w:tcBorders>
              <w:bottom w:val="single" w:sz="8" w:color="CCFFEE"/>
            </w:tcBorders>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Bonus (% of Base Salary)</w:t>
            </w:r>
          </w:p>
        </w:tc>
        <w:tc>
          <w:tcPr>
            <w:tcW w:w="180" w:type="dxa"/>
            <w:vAlign w:val="bottom"/>
            <w:tcBorders>
              <w:bottom w:val="single" w:sz="8" w:color="CCFFEE"/>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Threshold ($)</w:t>
            </w:r>
          </w:p>
        </w:tc>
        <w:tc>
          <w:tcPr>
            <w:tcW w:w="180" w:type="dxa"/>
            <w:vAlign w:val="bottom"/>
            <w:tcBorders>
              <w:bottom w:val="single" w:sz="8" w:color="CCFFEE"/>
            </w:tcBorders>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Target ($)</w:t>
            </w:r>
          </w:p>
        </w:tc>
        <w:tc>
          <w:tcPr>
            <w:tcW w:w="180" w:type="dxa"/>
            <w:vAlign w:val="bottom"/>
            <w:tcBorders>
              <w:bottom w:val="single" w:sz="8" w:color="CCFFEE"/>
            </w:tcBorders>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Maximum ($)</w:t>
            </w:r>
          </w:p>
        </w:tc>
      </w:tr>
      <w:tr>
        <w:trPr>
          <w:trHeight w:val="151"/>
        </w:trPr>
        <w:tc>
          <w:tcPr>
            <w:tcW w:w="2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2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80" w:type="dxa"/>
            <w:vAlign w:val="bottom"/>
            <w:shd w:val="clear" w:color="auto" w:fill="CCFFEE"/>
          </w:tcPr>
          <w:p>
            <w:pPr>
              <w:spacing w:after="0"/>
              <w:rPr>
                <w:sz w:val="13"/>
                <w:szCs w:val="13"/>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7"/>
              </w:rPr>
              <w:t>320,000</w:t>
            </w:r>
          </w:p>
        </w:tc>
        <w:tc>
          <w:tcPr>
            <w:tcW w:w="180" w:type="dxa"/>
            <w:vAlign w:val="bottom"/>
            <w:shd w:val="clear" w:color="auto" w:fill="CCFFEE"/>
          </w:tcPr>
          <w:p>
            <w:pPr>
              <w:spacing w:after="0"/>
              <w:rPr>
                <w:sz w:val="13"/>
                <w:szCs w:val="13"/>
                <w:color w:val="auto"/>
              </w:rPr>
            </w:pPr>
          </w:p>
        </w:tc>
        <w:tc>
          <w:tcPr>
            <w:tcW w:w="116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800,000</w:t>
            </w:r>
          </w:p>
        </w:tc>
        <w:tc>
          <w:tcPr>
            <w:tcW w:w="180" w:type="dxa"/>
            <w:vAlign w:val="bottom"/>
            <w:shd w:val="clear" w:color="auto" w:fill="CCFFEE"/>
          </w:tcPr>
          <w:p>
            <w:pPr>
              <w:spacing w:after="0"/>
              <w:rPr>
                <w:sz w:val="13"/>
                <w:szCs w:val="13"/>
                <w:color w:val="auto"/>
              </w:rPr>
            </w:pPr>
          </w:p>
        </w:tc>
        <w:tc>
          <w:tcPr>
            <w:tcW w:w="12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1,440,000</w:t>
            </w: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Shawn Munsell</w:t>
            </w: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99,600</w:t>
            </w: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249,000</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448,200</w:t>
            </w:r>
          </w:p>
        </w:tc>
      </w:tr>
      <w:tr>
        <w:trPr>
          <w:trHeight w:val="171"/>
        </w:trPr>
        <w:tc>
          <w:tcPr>
            <w:tcW w:w="2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2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72,000</w:t>
            </w:r>
          </w:p>
        </w:tc>
        <w:tc>
          <w:tcPr>
            <w:tcW w:w="180" w:type="dxa"/>
            <w:vAlign w:val="bottom"/>
            <w:shd w:val="clear" w:color="auto" w:fill="CCFFEE"/>
          </w:tcPr>
          <w:p>
            <w:pPr>
              <w:spacing w:after="0"/>
              <w:rPr>
                <w:sz w:val="14"/>
                <w:szCs w:val="14"/>
                <w:color w:val="auto"/>
              </w:rPr>
            </w:pPr>
          </w:p>
        </w:tc>
        <w:tc>
          <w:tcPr>
            <w:tcW w:w="116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180,000</w:t>
            </w:r>
          </w:p>
        </w:tc>
        <w:tc>
          <w:tcPr>
            <w:tcW w:w="180" w:type="dxa"/>
            <w:vAlign w:val="bottom"/>
            <w:shd w:val="clear" w:color="auto" w:fill="CCFFEE"/>
          </w:tcPr>
          <w:p>
            <w:pPr>
              <w:spacing w:after="0"/>
              <w:rPr>
                <w:sz w:val="14"/>
                <w:szCs w:val="14"/>
                <w:color w:val="auto"/>
              </w:rPr>
            </w:pPr>
          </w:p>
        </w:tc>
        <w:tc>
          <w:tcPr>
            <w:tcW w:w="12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324,200</w:t>
            </w: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Danny Dumas</w:t>
            </w: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83,000</w:t>
            </w: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207,500</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373,500</w:t>
            </w:r>
          </w:p>
        </w:tc>
      </w:tr>
      <w:tr>
        <w:trPr>
          <w:trHeight w:val="171"/>
        </w:trPr>
        <w:tc>
          <w:tcPr>
            <w:tcW w:w="288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Helen Kurtz</w:t>
            </w:r>
          </w:p>
        </w:tc>
        <w:tc>
          <w:tcPr>
            <w:tcW w:w="2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86,000</w:t>
            </w:r>
          </w:p>
        </w:tc>
        <w:tc>
          <w:tcPr>
            <w:tcW w:w="180" w:type="dxa"/>
            <w:vAlign w:val="bottom"/>
            <w:shd w:val="clear" w:color="auto" w:fill="CCFFEE"/>
          </w:tcPr>
          <w:p>
            <w:pPr>
              <w:spacing w:after="0"/>
              <w:rPr>
                <w:sz w:val="14"/>
                <w:szCs w:val="14"/>
                <w:color w:val="auto"/>
              </w:rPr>
            </w:pPr>
          </w:p>
        </w:tc>
        <w:tc>
          <w:tcPr>
            <w:tcW w:w="116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215,000</w:t>
            </w:r>
          </w:p>
        </w:tc>
        <w:tc>
          <w:tcPr>
            <w:tcW w:w="180" w:type="dxa"/>
            <w:vAlign w:val="bottom"/>
            <w:shd w:val="clear" w:color="auto" w:fill="CCFFEE"/>
          </w:tcPr>
          <w:p>
            <w:pPr>
              <w:spacing w:after="0"/>
              <w:rPr>
                <w:sz w:val="14"/>
                <w:szCs w:val="14"/>
                <w:color w:val="auto"/>
              </w:rPr>
            </w:pPr>
          </w:p>
        </w:tc>
        <w:tc>
          <w:tcPr>
            <w:tcW w:w="12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387,000</w:t>
            </w:r>
          </w:p>
        </w:tc>
      </w:tr>
      <w:tr>
        <w:trPr>
          <w:trHeight w:val="72"/>
        </w:trPr>
        <w:tc>
          <w:tcPr>
            <w:tcW w:w="22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Note: Illustration of payout at each of Threshold, Target, and Maximum includes the Individual Component at 100%, regardless of performance on the EBITDA Target and the EBITDA Component at its respective level.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Long-Term Incentive Plan (LTIP)</w:t>
      </w:r>
    </w:p>
    <w:p>
      <w:pPr>
        <w:spacing w:after="0" w:line="154"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In January 2022, the Compensation Committee determined that RSUs should be awarded as part of a separate long-term incentive plan rather than as part of the annual incentive program. Design changes in this new LTIP as compared to the equity component of the prior year’s annual incentive program include that 50% of the award vests contingent on achieving certain performance goals (i.e., PRSUs) and 50% of the award vests annually over three years to support retention (i.e., RSUs). Awards issued pursuant to the LTIP are granted under the 2020 Plan.</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PRSU design features:</w:t>
      </w:r>
    </w:p>
    <w:p>
      <w:pPr>
        <w:spacing w:after="0" w:line="17" w:lineRule="exact"/>
        <w:rPr>
          <w:sz w:val="20"/>
          <w:szCs w:val="20"/>
          <w:color w:val="auto"/>
        </w:rPr>
      </w:pP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criteria is based on a three-year cumulative performance window as compared to the prior plan which utilized a single year’s performance.</w:t>
      </w:r>
    </w:p>
    <w:p>
      <w:pPr>
        <w:spacing w:after="0" w:line="6" w:lineRule="exact"/>
        <w:rPr>
          <w:rFonts w:ascii="Times New Roman" w:cs="Times New Roman" w:eastAsia="Times New Roman" w:hAnsi="Times New Roman"/>
          <w:sz w:val="12"/>
          <w:szCs w:val="12"/>
          <w:color w:val="auto"/>
        </w:rPr>
      </w:pPr>
    </w:p>
    <w:p>
      <w:pPr>
        <w:ind w:left="440" w:right="159" w:hanging="209"/>
        <w:spacing w:after="0" w:line="213" w:lineRule="auto"/>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goals include three equally weighted metrics (Net Sales, Adjusted EBITDA, and Return on Invested Capital (ROIC)</w:t>
      </w:r>
      <w:r>
        <w:rPr>
          <w:rFonts w:ascii="Times New Roman" w:cs="Times New Roman" w:eastAsia="Times New Roman" w:hAnsi="Times New Roman"/>
          <w:sz w:val="17"/>
          <w:szCs w:val="17"/>
          <w:u w:val="single" w:color="auto"/>
          <w:color w:val="0000EE"/>
          <w:vertAlign w:val="superscript"/>
        </w:rPr>
        <w:t>3</w:t>
      </w:r>
      <w:r>
        <w:rPr>
          <w:rFonts w:ascii="Times New Roman" w:cs="Times New Roman" w:eastAsia="Times New Roman" w:hAnsi="Times New Roman"/>
          <w:sz w:val="12"/>
          <w:szCs w:val="12"/>
          <w:color w:val="auto"/>
        </w:rPr>
        <w:t>) on which to measure cumulative three-year performance. The Compensation Committee believe these metrics enhance alignment among management and shareholders’ interests.</w:t>
      </w:r>
    </w:p>
    <w:p>
      <w:pPr>
        <w:spacing w:after="0" w:line="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eight bracketed levels of performance utilized in the fiscal year 2021 LTIP was replaced by a threshold, target and maximum opportunity structure.</w:t>
      </w:r>
    </w:p>
    <w:p>
      <w:pPr>
        <w:spacing w:after="0" w:line="6" w:lineRule="exact"/>
        <w:rPr>
          <w:rFonts w:ascii="Times New Roman" w:cs="Times New Roman" w:eastAsia="Times New Roman" w:hAnsi="Times New Roman"/>
          <w:sz w:val="12"/>
          <w:szCs w:val="12"/>
          <w:color w:val="auto"/>
        </w:rPr>
      </w:pPr>
    </w:p>
    <w:p>
      <w:pPr>
        <w:ind w:left="440" w:right="99" w:hanging="209"/>
        <w:spacing w:after="0" w:line="250" w:lineRule="auto"/>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Linear interpolation will be applied to performance that falls between the threshold, target and maximum goals, with no contribution to vesting for performance below threshold for any of the metrics, respectively; and</w:t>
      </w: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Awards are capped at 200% of target.</w:t>
      </w:r>
    </w:p>
    <w:p>
      <w:pPr>
        <w:spacing w:after="0" w:line="139" w:lineRule="exact"/>
        <w:rPr>
          <w:sz w:val="20"/>
          <w:szCs w:val="20"/>
          <w:color w:val="auto"/>
        </w:rPr>
      </w:pPr>
    </w:p>
    <w:p>
      <w:pPr>
        <w:ind w:left="20" w:right="419"/>
        <w:spacing w:after="0" w:line="279" w:lineRule="auto"/>
        <w:rPr>
          <w:sz w:val="20"/>
          <w:szCs w:val="20"/>
          <w:color w:val="auto"/>
        </w:rPr>
      </w:pPr>
      <w:r>
        <w:rPr>
          <w:rFonts w:ascii="Times New Roman" w:cs="Times New Roman" w:eastAsia="Times New Roman" w:hAnsi="Times New Roman"/>
          <w:sz w:val="12"/>
          <w:szCs w:val="12"/>
          <w:color w:val="auto"/>
        </w:rPr>
        <w:t>LTIP restricted stock units (PRSUs and RSUs) are awarded annually according to the target percentages (percentages of base salary noted below) determined by the Compensation Committee according to job band and each named executive officer’s contribution to Company performance at the time of grant.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Mix of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10795</wp:posOffset>
            </wp:positionV>
            <wp:extent cx="2537460" cy="8286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37460" cy="82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right="139" w:hanging="209"/>
        <w:spacing w:after="0" w:line="269" w:lineRule="auto"/>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PRSUs (50%, at Target performance). </w:t>
      </w:r>
      <w:r>
        <w:rPr>
          <w:rFonts w:ascii="Times New Roman" w:cs="Times New Roman" w:eastAsia="Times New Roman" w:hAnsi="Times New Roman"/>
          <w:sz w:val="12"/>
          <w:szCs w:val="12"/>
          <w:color w:val="auto"/>
        </w:rPr>
        <w:t>PRSU awards are based on three-year aggregate performance targets (equally weighted metrics of: (i) Net Sales, (ii) Adjusted EBITDA,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(iii) Return on Invested Capital (ROIC)). Earned PRSUs vest entirely on the third anniversary of the grant and are granted on a linear scale between each of the markers noted below (Performance Threshold (50%), Performance Target, and Performance Maximum (200%)).</w:t>
      </w: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RSUs (50%)</w:t>
      </w:r>
      <w:r>
        <w:rPr>
          <w:rFonts w:ascii="Times New Roman" w:cs="Times New Roman" w:eastAsia="Times New Roman" w:hAnsi="Times New Roman"/>
          <w:sz w:val="12"/>
          <w:szCs w:val="12"/>
          <w:color w:val="auto"/>
        </w:rPr>
        <w:t>. RSUs vest annually in equal amounts over the three-year LTIP term, subject to the grantee’s continued service, providing a multi-year retention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215265</wp:posOffset>
            </wp:positionV>
            <wp:extent cx="14287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right="39" w:hanging="5"/>
        <w:spacing w:after="0" w:line="190" w:lineRule="auto"/>
        <w:tabs>
          <w:tab w:leader="none" w:pos="95"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Return on Invested Capital (ROIC) is a ratio based on both GAAP and non-GAAP financial measures. ROIC is defined as Net Operating Profit After Tax (NOPAT) divided by average Total Capital (average of the current and prior periods’ ending Total Capital balances). NOPAT is defined as EBIT less tax (the tax provision recorded on the Company’s GAAP financial statements). EBIT is defined as operating income (loss) (as recorded in the Company’s GAAP financial statements) adjusted for one-time items (those items which are non-recurring, infrequent or unusual and have not occurred in the past two years or are not expected to recur in the next two years). Total Capital is defined as Total Debt (total borrowings including finance leases and excluding operating leases) plus Total Shareholder’s Equity.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119"/>
        <w:spacing w:after="0" w:line="265" w:lineRule="auto"/>
        <w:rPr>
          <w:sz w:val="20"/>
          <w:szCs w:val="20"/>
          <w:color w:val="auto"/>
        </w:rPr>
      </w:pPr>
      <w:r>
        <w:rPr>
          <w:rFonts w:ascii="Times New Roman" w:cs="Times New Roman" w:eastAsia="Times New Roman" w:hAnsi="Times New Roman"/>
          <w:sz w:val="12"/>
          <w:szCs w:val="12"/>
          <w:color w:val="auto"/>
        </w:rPr>
        <w:t>The number of PRSUs and RSUs granted is based on the closing price per share of the Company’s common stock on the grant date. If PRSU awards are earned, as determined by the Compensation Committee, the PRSUs will be paid out upon vesting in shares of Company common stock based on the degree of performance attained. While LTIP awards vest as noted above, certain events, such as death or a change of control, may cause awards to vest immediately.</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Fiscal Year 2022 Long-Term Incentive Plan (LTIP)</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fiscal year 2022 LTIP, each named executive officer listed below was eligible to receive RSUs according to the following schedule:</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380" w:type="dxa"/>
            <w:vAlign w:val="bottom"/>
          </w:tcPr>
          <w:p>
            <w:pPr>
              <w:spacing w:after="0"/>
              <w:rPr>
                <w:sz w:val="7"/>
                <w:szCs w:val="7"/>
                <w:color w:val="auto"/>
              </w:rPr>
            </w:pPr>
          </w:p>
        </w:tc>
        <w:tc>
          <w:tcPr>
            <w:tcW w:w="2620" w:type="dxa"/>
            <w:vAlign w:val="bottom"/>
            <w:tcBorders>
              <w:top w:val="single" w:sz="8" w:color="DCE6F2"/>
            </w:tcBorders>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2100" w:type="dxa"/>
            <w:vAlign w:val="bottom"/>
            <w:tcBorders>
              <w:top w:val="single" w:sz="8" w:color="DCE6F2"/>
            </w:tcBorders>
            <w:gridSpan w:val="2"/>
          </w:tcPr>
          <w:p>
            <w:pPr>
              <w:jc w:val="center"/>
              <w:ind w:right="160"/>
              <w:spacing w:after="0" w:line="92" w:lineRule="exact"/>
              <w:rPr>
                <w:sz w:val="20"/>
                <w:szCs w:val="20"/>
                <w:color w:val="auto"/>
              </w:rPr>
            </w:pPr>
            <w:r>
              <w:rPr>
                <w:rFonts w:ascii="Times New Roman" w:cs="Times New Roman" w:eastAsia="Times New Roman" w:hAnsi="Times New Roman"/>
                <w:sz w:val="10"/>
                <w:szCs w:val="10"/>
                <w:b w:val="1"/>
                <w:bCs w:val="1"/>
                <w:color w:val="auto"/>
                <w:w w:val="93"/>
              </w:rPr>
              <w:t>Total Target LTIP (RSU)</w:t>
            </w:r>
          </w:p>
        </w:tc>
        <w:tc>
          <w:tcPr>
            <w:tcW w:w="1040" w:type="dxa"/>
            <w:vAlign w:val="bottom"/>
            <w:tcBorders>
              <w:top w:val="single" w:sz="8" w:color="DCE6F2"/>
            </w:tcBorders>
          </w:tcPr>
          <w:p>
            <w:pPr>
              <w:spacing w:after="0"/>
              <w:rPr>
                <w:sz w:val="7"/>
                <w:szCs w:val="7"/>
                <w:color w:val="auto"/>
              </w:rPr>
            </w:pPr>
          </w:p>
        </w:tc>
        <w:tc>
          <w:tcPr>
            <w:tcW w:w="180" w:type="dxa"/>
            <w:vAlign w:val="bottom"/>
            <w:tcBorders>
              <w:top w:val="single" w:sz="8" w:color="DCE6F2"/>
            </w:tcBorders>
          </w:tcPr>
          <w:p>
            <w:pPr>
              <w:spacing w:after="0"/>
              <w:rPr>
                <w:sz w:val="7"/>
                <w:szCs w:val="7"/>
                <w:color w:val="auto"/>
              </w:rPr>
            </w:pPr>
          </w:p>
        </w:tc>
        <w:tc>
          <w:tcPr>
            <w:tcW w:w="1040" w:type="dxa"/>
            <w:vAlign w:val="bottom"/>
            <w:tcBorders>
              <w:top w:val="single" w:sz="8" w:color="DCE6F2"/>
            </w:tcBorders>
          </w:tcPr>
          <w:p>
            <w:pPr>
              <w:spacing w:after="0"/>
              <w:rPr>
                <w:sz w:val="7"/>
                <w:szCs w:val="7"/>
                <w:color w:val="auto"/>
              </w:rPr>
            </w:pPr>
          </w:p>
        </w:tc>
        <w:tc>
          <w:tcPr>
            <w:tcW w:w="200" w:type="dxa"/>
            <w:vAlign w:val="bottom"/>
            <w:tcBorders>
              <w:top w:val="single" w:sz="8" w:color="DCE6F2"/>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80" w:type="dxa"/>
            <w:vAlign w:val="bottom"/>
          </w:tcPr>
          <w:p>
            <w:pPr>
              <w:spacing w:after="0"/>
              <w:rPr>
                <w:sz w:val="8"/>
                <w:szCs w:val="8"/>
                <w:color w:val="auto"/>
              </w:rPr>
            </w:pPr>
          </w:p>
        </w:tc>
        <w:tc>
          <w:tcPr>
            <w:tcW w:w="2620" w:type="dxa"/>
            <w:vAlign w:val="bottom"/>
            <w:gridSpan w:val="3"/>
            <w:vMerge w:val="continue"/>
          </w:tcPr>
          <w:p>
            <w:pPr>
              <w:spacing w:after="0"/>
              <w:rPr>
                <w:sz w:val="8"/>
                <w:szCs w:val="8"/>
                <w:color w:val="auto"/>
              </w:rPr>
            </w:pPr>
          </w:p>
        </w:tc>
        <w:tc>
          <w:tcPr>
            <w:tcW w:w="21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Opportunity for 2022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Target Award ($)</w:t>
            </w:r>
          </w:p>
        </w:tc>
        <w:tc>
          <w:tcPr>
            <w:tcW w:w="180" w:type="dxa"/>
            <w:vAlign w:val="bottom"/>
            <w:vMerge w:val="restart"/>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Number of RSUs</w:t>
            </w:r>
          </w:p>
        </w:tc>
        <w:tc>
          <w:tcPr>
            <w:tcW w:w="2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except as specified)</w:t>
            </w:r>
          </w:p>
        </w:tc>
        <w:tc>
          <w:tcPr>
            <w:tcW w:w="160" w:type="dxa"/>
            <w:vAlign w:val="bottom"/>
            <w:tcBorders>
              <w:bottom w:val="single" w:sz="8" w:color="CCFFEE"/>
            </w:tcBorders>
          </w:tcPr>
          <w:p>
            <w:pPr>
              <w:spacing w:after="0"/>
              <w:rPr>
                <w:sz w:val="10"/>
                <w:szCs w:val="1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of Base Salary)</w:t>
            </w:r>
          </w:p>
        </w:tc>
        <w:tc>
          <w:tcPr>
            <w:tcW w:w="180" w:type="dxa"/>
            <w:vAlign w:val="bottom"/>
            <w:tcBorders>
              <w:bottom w:val="single" w:sz="8" w:color="CCFFEE"/>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FFEE"/>
            </w:tcBorders>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CCFFE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262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1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80" w:type="dxa"/>
            <w:vAlign w:val="bottom"/>
            <w:shd w:val="clear" w:color="auto" w:fill="CCFFEE"/>
          </w:tcPr>
          <w:p>
            <w:pPr>
              <w:spacing w:after="0"/>
              <w:rPr>
                <w:sz w:val="13"/>
                <w:szCs w:val="13"/>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400,000</w:t>
            </w:r>
          </w:p>
        </w:tc>
        <w:tc>
          <w:tcPr>
            <w:tcW w:w="180" w:type="dxa"/>
            <w:vAlign w:val="bottom"/>
            <w:shd w:val="clear" w:color="auto" w:fill="CCFFEE"/>
          </w:tcPr>
          <w:p>
            <w:pPr>
              <w:spacing w:after="0"/>
              <w:rPr>
                <w:sz w:val="13"/>
                <w:szCs w:val="13"/>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10,670</w:t>
            </w:r>
          </w:p>
        </w:tc>
        <w:tc>
          <w:tcPr>
            <w:tcW w:w="200" w:type="dxa"/>
            <w:vAlign w:val="bottom"/>
            <w:shd w:val="clear" w:color="auto" w:fill="CCFFE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Robert Wedin</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n/a</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62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1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80" w:type="dxa"/>
            <w:vAlign w:val="bottom"/>
            <w:shd w:val="clear" w:color="auto" w:fill="CCFFEE"/>
          </w:tcPr>
          <w:p>
            <w:pPr>
              <w:spacing w:after="0"/>
              <w:rPr>
                <w:sz w:val="14"/>
                <w:szCs w:val="14"/>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86,000</w:t>
            </w:r>
          </w:p>
        </w:tc>
        <w:tc>
          <w:tcPr>
            <w:tcW w:w="180" w:type="dxa"/>
            <w:vAlign w:val="bottom"/>
            <w:shd w:val="clear" w:color="auto" w:fill="CCFFEE"/>
          </w:tcPr>
          <w:p>
            <w:pPr>
              <w:spacing w:after="0"/>
              <w:rPr>
                <w:sz w:val="14"/>
                <w:szCs w:val="14"/>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2,294</w:t>
            </w:r>
          </w:p>
        </w:tc>
        <w:tc>
          <w:tcPr>
            <w:tcW w:w="200" w:type="dxa"/>
            <w:vAlign w:val="bottom"/>
            <w:shd w:val="clear" w:color="auto" w:fill="CCFFE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70,000</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1,867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8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fiscal year 2022 LTIP, each named executive officer listed below was eligible to receive PRSUs according to the following schedule:</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240" w:type="dxa"/>
            <w:vAlign w:val="bottom"/>
            <w:tcBorders>
              <w:top w:val="single" w:sz="8" w:color="DCE6F2"/>
            </w:tcBorders>
          </w:tcPr>
          <w:p>
            <w:pPr>
              <w:spacing w:after="0"/>
              <w:rPr>
                <w:sz w:val="7"/>
                <w:szCs w:val="7"/>
                <w:color w:val="auto"/>
              </w:rPr>
            </w:pPr>
          </w:p>
        </w:tc>
        <w:tc>
          <w:tcPr>
            <w:tcW w:w="420" w:type="dxa"/>
            <w:vAlign w:val="bottom"/>
            <w:tcBorders>
              <w:top w:val="single" w:sz="8" w:color="DCE6F2"/>
            </w:tcBorders>
          </w:tcPr>
          <w:p>
            <w:pPr>
              <w:spacing w:after="0"/>
              <w:rPr>
                <w:sz w:val="7"/>
                <w:szCs w:val="7"/>
                <w:color w:val="auto"/>
              </w:rPr>
            </w:pPr>
          </w:p>
        </w:tc>
        <w:tc>
          <w:tcPr>
            <w:tcW w:w="180" w:type="dxa"/>
            <w:vAlign w:val="bottom"/>
            <w:tcBorders>
              <w:top w:val="single" w:sz="8" w:color="DCE6F2"/>
            </w:tcBorders>
          </w:tcPr>
          <w:p>
            <w:pPr>
              <w:spacing w:after="0"/>
              <w:rPr>
                <w:sz w:val="7"/>
                <w:szCs w:val="7"/>
                <w:color w:val="auto"/>
              </w:rPr>
            </w:pPr>
          </w:p>
        </w:tc>
        <w:tc>
          <w:tcPr>
            <w:tcW w:w="2280" w:type="dxa"/>
            <w:vAlign w:val="bottom"/>
            <w:tcBorders>
              <w:top w:val="single" w:sz="8" w:color="DCE6F2"/>
            </w:tcBorders>
            <w:gridSpan w:val="2"/>
          </w:tcPr>
          <w:p>
            <w:pPr>
              <w:jc w:val="center"/>
              <w:ind w:right="160"/>
              <w:spacing w:after="0" w:line="92" w:lineRule="exact"/>
              <w:rPr>
                <w:sz w:val="20"/>
                <w:szCs w:val="20"/>
                <w:color w:val="auto"/>
              </w:rPr>
            </w:pPr>
            <w:r>
              <w:rPr>
                <w:rFonts w:ascii="Times New Roman" w:cs="Times New Roman" w:eastAsia="Times New Roman" w:hAnsi="Times New Roman"/>
                <w:sz w:val="10"/>
                <w:szCs w:val="10"/>
                <w:b w:val="1"/>
                <w:bCs w:val="1"/>
                <w:color w:val="auto"/>
                <w:w w:val="93"/>
              </w:rPr>
              <w:t>Total Target LTIP (PRSU)</w:t>
            </w:r>
          </w:p>
        </w:tc>
        <w:tc>
          <w:tcPr>
            <w:tcW w:w="1320" w:type="dxa"/>
            <w:vAlign w:val="bottom"/>
            <w:tcBorders>
              <w:top w:val="single" w:sz="8" w:color="DCE6F2"/>
            </w:tcBorders>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PRSUs Vesting at</w:t>
            </w:r>
          </w:p>
        </w:tc>
        <w:tc>
          <w:tcPr>
            <w:tcW w:w="1320" w:type="dxa"/>
            <w:vAlign w:val="bottom"/>
            <w:tcBorders>
              <w:top w:val="single" w:sz="8" w:color="DCE6F2"/>
            </w:tcBorders>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2"/>
              </w:rPr>
              <w:t>PRSUs Vesting at</w:t>
            </w:r>
          </w:p>
        </w:tc>
        <w:tc>
          <w:tcPr>
            <w:tcW w:w="1200" w:type="dxa"/>
            <w:vAlign w:val="bottom"/>
            <w:tcBorders>
              <w:top w:val="single" w:sz="8" w:color="DCE6F2"/>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PRSUs Vesting at</w:t>
            </w:r>
          </w:p>
        </w:tc>
        <w:tc>
          <w:tcPr>
            <w:tcW w:w="0" w:type="dxa"/>
            <w:vAlign w:val="bottom"/>
          </w:tcPr>
          <w:p>
            <w:pPr>
              <w:spacing w:after="0"/>
              <w:rPr>
                <w:sz w:val="1"/>
                <w:szCs w:val="1"/>
                <w:color w:val="auto"/>
              </w:rPr>
            </w:pPr>
          </w:p>
        </w:tc>
      </w:tr>
      <w:tr>
        <w:trPr>
          <w:trHeight w:val="99"/>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180" w:type="dxa"/>
            <w:vAlign w:val="bottom"/>
            <w:vMerge w:val="restart"/>
          </w:tcPr>
          <w:p>
            <w:pPr>
              <w:spacing w:after="0"/>
              <w:rPr>
                <w:sz w:val="8"/>
                <w:szCs w:val="8"/>
                <w:color w:val="auto"/>
              </w:rPr>
            </w:pPr>
          </w:p>
        </w:tc>
        <w:tc>
          <w:tcPr>
            <w:tcW w:w="22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Opportunity for 2022</w:t>
            </w:r>
          </w:p>
        </w:tc>
        <w:tc>
          <w:tcPr>
            <w:tcW w:w="132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auto"/>
            </w:tcBorders>
            <w:gridSpan w:val="2"/>
            <w:vMerge w:val="continue"/>
          </w:tcPr>
          <w:p>
            <w:pPr>
              <w:spacing w:after="0"/>
              <w:rPr>
                <w:sz w:val="10"/>
                <w:szCs w:val="10"/>
                <w:color w:val="auto"/>
              </w:rPr>
            </w:pPr>
          </w:p>
        </w:tc>
        <w:tc>
          <w:tcPr>
            <w:tcW w:w="180" w:type="dxa"/>
            <w:vAlign w:val="bottom"/>
            <w:tcBorders>
              <w:bottom w:val="single" w:sz="8" w:color="CCFFEE"/>
            </w:tcBorders>
            <w:vMerge w:val="continue"/>
          </w:tcPr>
          <w:p>
            <w:pPr>
              <w:spacing w:after="0"/>
              <w:rPr>
                <w:sz w:val="10"/>
                <w:szCs w:val="1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of Base Salary)</w:t>
            </w:r>
          </w:p>
        </w:tc>
        <w:tc>
          <w:tcPr>
            <w:tcW w:w="180" w:type="dxa"/>
            <w:vAlign w:val="bottom"/>
            <w:tcBorders>
              <w:bottom w:val="single" w:sz="8" w:color="CCFFEE"/>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Performance Threshold</w:t>
            </w:r>
          </w:p>
        </w:tc>
        <w:tc>
          <w:tcPr>
            <w:tcW w:w="180" w:type="dxa"/>
            <w:vAlign w:val="bottom"/>
            <w:tcBorders>
              <w:bottom w:val="single" w:sz="8" w:color="CCFFEE"/>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Performance Target</w:t>
            </w:r>
          </w:p>
        </w:tc>
        <w:tc>
          <w:tcPr>
            <w:tcW w:w="180" w:type="dxa"/>
            <w:vAlign w:val="bottom"/>
            <w:tcBorders>
              <w:bottom w:val="single" w:sz="8" w:color="CCFFEE"/>
            </w:tcBorders>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Performance Maximum</w:t>
            </w:r>
          </w:p>
        </w:tc>
        <w:tc>
          <w:tcPr>
            <w:tcW w:w="0" w:type="dxa"/>
            <w:vAlign w:val="bottom"/>
          </w:tcPr>
          <w:p>
            <w:pPr>
              <w:spacing w:after="0"/>
              <w:rPr>
                <w:sz w:val="1"/>
                <w:szCs w:val="1"/>
                <w:color w:val="auto"/>
              </w:rPr>
            </w:pPr>
          </w:p>
        </w:tc>
      </w:tr>
      <w:tr>
        <w:trPr>
          <w:trHeight w:val="151"/>
        </w:trPr>
        <w:tc>
          <w:tcPr>
            <w:tcW w:w="284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21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80" w:type="dxa"/>
            <w:vAlign w:val="bottom"/>
            <w:shd w:val="clear" w:color="auto" w:fill="CCFFEE"/>
          </w:tcPr>
          <w:p>
            <w:pPr>
              <w:spacing w:after="0"/>
              <w:rPr>
                <w:sz w:val="13"/>
                <w:szCs w:val="13"/>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5,335</w:t>
            </w:r>
          </w:p>
        </w:tc>
        <w:tc>
          <w:tcPr>
            <w:tcW w:w="180" w:type="dxa"/>
            <w:vAlign w:val="bottom"/>
            <w:shd w:val="clear" w:color="auto" w:fill="CCFFEE"/>
          </w:tcPr>
          <w:p>
            <w:pPr>
              <w:spacing w:after="0"/>
              <w:rPr>
                <w:sz w:val="13"/>
                <w:szCs w:val="13"/>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10,670</w:t>
            </w:r>
          </w:p>
        </w:tc>
        <w:tc>
          <w:tcPr>
            <w:tcW w:w="180" w:type="dxa"/>
            <w:vAlign w:val="bottom"/>
            <w:shd w:val="clear" w:color="auto" w:fill="CCFFEE"/>
          </w:tcPr>
          <w:p>
            <w:pPr>
              <w:spacing w:after="0"/>
              <w:rPr>
                <w:sz w:val="13"/>
                <w:szCs w:val="13"/>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21,340</w:t>
            </w:r>
          </w:p>
        </w:tc>
        <w:tc>
          <w:tcPr>
            <w:tcW w:w="0" w:type="dxa"/>
            <w:vAlign w:val="bottom"/>
          </w:tcPr>
          <w:p>
            <w:pPr>
              <w:spacing w:after="0"/>
              <w:rPr>
                <w:sz w:val="1"/>
                <w:szCs w:val="1"/>
                <w:color w:val="auto"/>
              </w:rPr>
            </w:pPr>
          </w:p>
        </w:tc>
      </w:tr>
      <w:tr>
        <w:trPr>
          <w:trHeight w:val="171"/>
        </w:trPr>
        <w:tc>
          <w:tcPr>
            <w:tcW w:w="2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Robert Wedin</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n/a</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n/a</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71"/>
        </w:trPr>
        <w:tc>
          <w:tcPr>
            <w:tcW w:w="284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21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1,147</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2,294</w:t>
            </w:r>
          </w:p>
        </w:tc>
        <w:tc>
          <w:tcPr>
            <w:tcW w:w="180" w:type="dxa"/>
            <w:vAlign w:val="bottom"/>
            <w:shd w:val="clear" w:color="auto" w:fill="CCFFEE"/>
          </w:tcPr>
          <w:p>
            <w:pPr>
              <w:spacing w:after="0"/>
              <w:rPr>
                <w:sz w:val="14"/>
                <w:szCs w:val="14"/>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4,588</w:t>
            </w:r>
          </w:p>
        </w:tc>
        <w:tc>
          <w:tcPr>
            <w:tcW w:w="0" w:type="dxa"/>
            <w:vAlign w:val="bottom"/>
          </w:tcPr>
          <w:p>
            <w:pPr>
              <w:spacing w:after="0"/>
              <w:rPr>
                <w:sz w:val="1"/>
                <w:szCs w:val="1"/>
                <w:color w:val="auto"/>
              </w:rPr>
            </w:pPr>
          </w:p>
        </w:tc>
      </w:tr>
      <w:tr>
        <w:trPr>
          <w:trHeight w:val="171"/>
        </w:trPr>
        <w:tc>
          <w:tcPr>
            <w:tcW w:w="2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934</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1,867</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3,734</w:t>
            </w: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With Robert Wedin’s announced retirement, effective October 31, 2022, Mr. Wedin was not granted a LTIP stock award.</w:t>
      </w:r>
    </w:p>
    <w:p>
      <w:pPr>
        <w:spacing w:after="0" w:line="150" w:lineRule="exact"/>
        <w:rPr>
          <w:sz w:val="20"/>
          <w:szCs w:val="20"/>
          <w:color w:val="auto"/>
        </w:rPr>
      </w:pPr>
    </w:p>
    <w:p>
      <w:pPr>
        <w:ind w:left="20" w:right="219"/>
        <w:spacing w:after="0" w:line="299" w:lineRule="auto"/>
        <w:rPr>
          <w:sz w:val="20"/>
          <w:szCs w:val="20"/>
          <w:color w:val="auto"/>
        </w:rPr>
      </w:pPr>
      <w:r>
        <w:rPr>
          <w:rFonts w:ascii="Times New Roman" w:cs="Times New Roman" w:eastAsia="Times New Roman" w:hAnsi="Times New Roman"/>
          <w:sz w:val="12"/>
          <w:szCs w:val="12"/>
          <w:color w:val="auto"/>
        </w:rPr>
        <w:t>For fiscal year 2022, on April 1, 2022, Calavo granted the following RSUs and PRSUs and the grant date share price of our common stock was $37.49 per share. Subject to continued service, a grantee’s RSUs will vest in three equal installments on November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of each of 2022, 2023 and 2024.</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Executive Officer</w:t>
            </w: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Total stock awards ($)</w:t>
            </w:r>
          </w:p>
        </w:tc>
        <w:tc>
          <w:tcPr>
            <w:tcW w:w="112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w w:val="96"/>
              </w:rPr>
              <w:t>Number of RSUs</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Number of PRSUs</w:t>
            </w:r>
          </w:p>
        </w:tc>
      </w:tr>
      <w:tr>
        <w:trPr>
          <w:trHeight w:val="133"/>
        </w:trPr>
        <w:tc>
          <w:tcPr>
            <w:tcW w:w="4220" w:type="dxa"/>
            <w:vAlign w:val="bottom"/>
            <w:tcBorders>
              <w:top w:val="single" w:sz="8" w:color="auto"/>
            </w:tcBorders>
            <w:shd w:val="clear" w:color="auto" w:fill="CCFFEE"/>
          </w:tcPr>
          <w:p>
            <w:pPr>
              <w:spacing w:after="0" w:line="133" w:lineRule="exact"/>
              <w:rPr>
                <w:sz w:val="20"/>
                <w:szCs w:val="20"/>
                <w:color w:val="auto"/>
              </w:rPr>
            </w:pPr>
            <w:r>
              <w:rPr>
                <w:rFonts w:ascii="Times New Roman" w:cs="Times New Roman" w:eastAsia="Times New Roman" w:hAnsi="Times New Roman"/>
                <w:sz w:val="12"/>
                <w:szCs w:val="12"/>
                <w:color w:val="auto"/>
              </w:rPr>
              <w:t>Brian Kocher</w:t>
            </w:r>
          </w:p>
        </w:tc>
        <w:tc>
          <w:tcPr>
            <w:tcW w:w="240" w:type="dxa"/>
            <w:vAlign w:val="bottom"/>
            <w:tcBorders>
              <w:top w:val="single" w:sz="8" w:color="CCFFEE"/>
            </w:tcBorders>
            <w:shd w:val="clear" w:color="auto" w:fill="CCFFEE"/>
          </w:tcPr>
          <w:p>
            <w:pPr>
              <w:spacing w:after="0"/>
              <w:rPr>
                <w:sz w:val="11"/>
                <w:szCs w:val="11"/>
                <w:color w:val="auto"/>
              </w:rPr>
            </w:pPr>
          </w:p>
        </w:tc>
        <w:tc>
          <w:tcPr>
            <w:tcW w:w="144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$800,000</w:t>
            </w:r>
          </w:p>
        </w:tc>
        <w:tc>
          <w:tcPr>
            <w:tcW w:w="140" w:type="dxa"/>
            <w:vAlign w:val="bottom"/>
            <w:tcBorders>
              <w:top w:val="single" w:sz="8" w:color="CCFFEE"/>
            </w:tcBorders>
            <w:shd w:val="clear" w:color="auto" w:fill="CCFFEE"/>
          </w:tcPr>
          <w:p>
            <w:pPr>
              <w:spacing w:after="0"/>
              <w:rPr>
                <w:sz w:val="11"/>
                <w:szCs w:val="11"/>
                <w:color w:val="auto"/>
              </w:rPr>
            </w:pPr>
          </w:p>
        </w:tc>
        <w:tc>
          <w:tcPr>
            <w:tcW w:w="1120" w:type="dxa"/>
            <w:vAlign w:val="bottom"/>
            <w:tcBorders>
              <w:top w:val="single" w:sz="8" w:color="auto"/>
            </w:tcBorders>
            <w:shd w:val="clear" w:color="auto" w:fill="CCFFEE"/>
          </w:tcPr>
          <w:p>
            <w:pPr>
              <w:spacing w:after="0"/>
              <w:rPr>
                <w:sz w:val="11"/>
                <w:szCs w:val="11"/>
                <w:color w:val="auto"/>
              </w:rPr>
            </w:pPr>
          </w:p>
        </w:tc>
        <w:tc>
          <w:tcPr>
            <w:tcW w:w="40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10,670</w:t>
            </w:r>
          </w:p>
        </w:tc>
        <w:tc>
          <w:tcPr>
            <w:tcW w:w="160" w:type="dxa"/>
            <w:vAlign w:val="bottom"/>
            <w:tcBorders>
              <w:top w:val="single" w:sz="8" w:color="CCFFEE"/>
            </w:tcBorders>
            <w:shd w:val="clear" w:color="auto" w:fill="CCFFEE"/>
          </w:tcPr>
          <w:p>
            <w:pPr>
              <w:spacing w:after="0"/>
              <w:rPr>
                <w:sz w:val="11"/>
                <w:szCs w:val="11"/>
                <w:color w:val="auto"/>
              </w:rPr>
            </w:pPr>
          </w:p>
        </w:tc>
        <w:tc>
          <w:tcPr>
            <w:tcW w:w="126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10,670</w:t>
            </w:r>
          </w:p>
        </w:tc>
      </w:tr>
      <w:tr>
        <w:trPr>
          <w:trHeight w:val="144"/>
        </w:trPr>
        <w:tc>
          <w:tcPr>
            <w:tcW w:w="4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172,000</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2,294</w:t>
            </w:r>
          </w:p>
        </w:tc>
        <w:tc>
          <w:tcPr>
            <w:tcW w:w="1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2,294</w:t>
            </w:r>
          </w:p>
        </w:tc>
      </w:tr>
      <w:tr>
        <w:trPr>
          <w:trHeight w:val="144"/>
        </w:trPr>
        <w:tc>
          <w:tcPr>
            <w:tcW w:w="446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14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140,000</w:t>
            </w:r>
          </w:p>
        </w:tc>
        <w:tc>
          <w:tcPr>
            <w:tcW w:w="140" w:type="dxa"/>
            <w:vAlign w:val="bottom"/>
            <w:shd w:val="clear" w:color="auto" w:fill="CCFFEE"/>
          </w:tcPr>
          <w:p>
            <w:pPr>
              <w:spacing w:after="0"/>
              <w:rPr>
                <w:sz w:val="12"/>
                <w:szCs w:val="12"/>
                <w:color w:val="auto"/>
              </w:rPr>
            </w:pPr>
          </w:p>
        </w:tc>
        <w:tc>
          <w:tcPr>
            <w:tcW w:w="1120" w:type="dxa"/>
            <w:vAlign w:val="bottom"/>
            <w:shd w:val="clear" w:color="auto" w:fill="CCFFEE"/>
          </w:tcPr>
          <w:p>
            <w:pPr>
              <w:spacing w:after="0"/>
              <w:rPr>
                <w:sz w:val="12"/>
                <w:szCs w:val="12"/>
                <w:color w:val="auto"/>
              </w:rPr>
            </w:pPr>
          </w:p>
        </w:tc>
        <w:tc>
          <w:tcPr>
            <w:tcW w:w="4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1,867</w:t>
            </w:r>
          </w:p>
        </w:tc>
        <w:tc>
          <w:tcPr>
            <w:tcW w:w="160" w:type="dxa"/>
            <w:vAlign w:val="bottom"/>
            <w:shd w:val="clear" w:color="auto" w:fill="CCFFEE"/>
          </w:tcPr>
          <w:p>
            <w:pPr>
              <w:spacing w:after="0"/>
              <w:rPr>
                <w:sz w:val="12"/>
                <w:szCs w:val="12"/>
                <w:color w:val="auto"/>
              </w:rPr>
            </w:pPr>
          </w:p>
        </w:tc>
        <w:tc>
          <w:tcPr>
            <w:tcW w:w="12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1,867</w:t>
            </w:r>
          </w:p>
        </w:tc>
      </w:tr>
    </w:tbl>
    <w:p>
      <w:pPr>
        <w:spacing w:after="0" w:line="133"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The estimated grant date values for the above RSUs and PRSUs were computed in accordance with FASB ASC Topic 718 and will not necessarily reflect the actual value that may be realized by the grantees with respect to these awards. This value of an RSU or PRSU is determined based on the number of underlying target shares multiplied by the closing share price of our common stock on the date of grant.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Fiscal Year 2023 Long-Term Incentive Plan (LTIP)</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fiscal year 2023 LTIP, each named executive officer listed below is eligible to receive the following RSUs:</w:t>
      </w:r>
    </w:p>
    <w:p>
      <w:pPr>
        <w:spacing w:after="0" w:line="141" w:lineRule="exact"/>
        <w:rPr>
          <w:sz w:val="20"/>
          <w:szCs w:val="20"/>
          <w:color w:val="auto"/>
        </w:rPr>
      </w:pPr>
    </w:p>
    <w:tbl>
      <w:tblPr>
        <w:tblLayout w:type="fixed"/>
        <w:tblInd w:w="400" w:type="dxa"/>
        <w:tblCellMar>
          <w:top w:w="0" w:type="dxa"/>
          <w:left w:w="0" w:type="dxa"/>
          <w:bottom w:w="0" w:type="dxa"/>
          <w:right w:w="0" w:type="dxa"/>
        </w:tblCellMar>
      </w:tblPr>
      <w:tr>
        <w:trPr>
          <w:trHeight w:val="92"/>
        </w:trPr>
        <w:tc>
          <w:tcPr>
            <w:tcW w:w="2620" w:type="dxa"/>
            <w:vAlign w:val="bottom"/>
            <w:tcBorders>
              <w:top w:val="single" w:sz="8" w:color="DCE6F2"/>
            </w:tcBorders>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2100" w:type="dxa"/>
            <w:vAlign w:val="bottom"/>
            <w:tcBorders>
              <w:top w:val="single" w:sz="8" w:color="DCE6F2"/>
            </w:tcBorders>
            <w:gridSpan w:val="2"/>
          </w:tcPr>
          <w:p>
            <w:pPr>
              <w:jc w:val="center"/>
              <w:ind w:right="160"/>
              <w:spacing w:after="0" w:line="92" w:lineRule="exact"/>
              <w:rPr>
                <w:sz w:val="20"/>
                <w:szCs w:val="20"/>
                <w:color w:val="auto"/>
              </w:rPr>
            </w:pPr>
            <w:r>
              <w:rPr>
                <w:rFonts w:ascii="Times New Roman" w:cs="Times New Roman" w:eastAsia="Times New Roman" w:hAnsi="Times New Roman"/>
                <w:sz w:val="10"/>
                <w:szCs w:val="10"/>
                <w:b w:val="1"/>
                <w:bCs w:val="1"/>
                <w:color w:val="auto"/>
                <w:w w:val="93"/>
              </w:rPr>
              <w:t>Total Target LTIP (RSU)</w:t>
            </w:r>
          </w:p>
        </w:tc>
        <w:tc>
          <w:tcPr>
            <w:tcW w:w="1040" w:type="dxa"/>
            <w:vAlign w:val="bottom"/>
            <w:tcBorders>
              <w:top w:val="single" w:sz="8" w:color="DCE6F2"/>
            </w:tcBorders>
          </w:tcPr>
          <w:p>
            <w:pPr>
              <w:spacing w:after="0"/>
              <w:rPr>
                <w:sz w:val="7"/>
                <w:szCs w:val="7"/>
                <w:color w:val="auto"/>
              </w:rPr>
            </w:pPr>
          </w:p>
        </w:tc>
        <w:tc>
          <w:tcPr>
            <w:tcW w:w="180" w:type="dxa"/>
            <w:vAlign w:val="bottom"/>
            <w:tcBorders>
              <w:top w:val="single" w:sz="8" w:color="DCE6F2"/>
            </w:tcBorders>
          </w:tcPr>
          <w:p>
            <w:pPr>
              <w:spacing w:after="0"/>
              <w:rPr>
                <w:sz w:val="7"/>
                <w:szCs w:val="7"/>
                <w:color w:val="auto"/>
              </w:rPr>
            </w:pPr>
          </w:p>
        </w:tc>
        <w:tc>
          <w:tcPr>
            <w:tcW w:w="1040" w:type="dxa"/>
            <w:vAlign w:val="bottom"/>
            <w:tcBorders>
              <w:top w:val="single" w:sz="8" w:color="DCE6F2"/>
            </w:tcBorders>
          </w:tcPr>
          <w:p>
            <w:pPr>
              <w:spacing w:after="0"/>
              <w:rPr>
                <w:sz w:val="7"/>
                <w:szCs w:val="7"/>
                <w:color w:val="auto"/>
              </w:rPr>
            </w:pPr>
          </w:p>
        </w:tc>
        <w:tc>
          <w:tcPr>
            <w:tcW w:w="200" w:type="dxa"/>
            <w:vAlign w:val="bottom"/>
            <w:tcBorders>
              <w:top w:val="single" w:sz="8" w:color="DCE6F2"/>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20" w:type="dxa"/>
            <w:vAlign w:val="bottom"/>
            <w:gridSpan w:val="2"/>
            <w:vMerge w:val="continue"/>
          </w:tcPr>
          <w:p>
            <w:pPr>
              <w:spacing w:after="0"/>
              <w:rPr>
                <w:sz w:val="8"/>
                <w:szCs w:val="8"/>
                <w:color w:val="auto"/>
              </w:rPr>
            </w:pPr>
          </w:p>
        </w:tc>
        <w:tc>
          <w:tcPr>
            <w:tcW w:w="21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Opportunity for 2023</w:t>
            </w:r>
          </w:p>
        </w:tc>
        <w:tc>
          <w:tcPr>
            <w:tcW w:w="1040" w:type="dxa"/>
            <w:vAlign w:val="bottom"/>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Target Award ($)</w:t>
            </w:r>
          </w:p>
        </w:tc>
        <w:tc>
          <w:tcPr>
            <w:tcW w:w="180" w:type="dxa"/>
            <w:vAlign w:val="bottom"/>
            <w:vMerge w:val="restart"/>
          </w:tcPr>
          <w:p>
            <w:pPr>
              <w:spacing w:after="0"/>
              <w:rPr>
                <w:sz w:val="8"/>
                <w:szCs w:val="8"/>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Number of RSUs</w:t>
            </w:r>
          </w:p>
        </w:tc>
        <w:tc>
          <w:tcPr>
            <w:tcW w:w="2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except as specified)</w:t>
            </w:r>
          </w:p>
        </w:tc>
        <w:tc>
          <w:tcPr>
            <w:tcW w:w="160" w:type="dxa"/>
            <w:vAlign w:val="bottom"/>
            <w:tcBorders>
              <w:bottom w:val="single" w:sz="8" w:color="CCFFEE"/>
            </w:tcBorders>
          </w:tcPr>
          <w:p>
            <w:pPr>
              <w:spacing w:after="0"/>
              <w:rPr>
                <w:sz w:val="10"/>
                <w:szCs w:val="1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of Base Salary)</w:t>
            </w:r>
          </w:p>
        </w:tc>
        <w:tc>
          <w:tcPr>
            <w:tcW w:w="180" w:type="dxa"/>
            <w:vAlign w:val="bottom"/>
            <w:tcBorders>
              <w:bottom w:val="single" w:sz="8" w:color="CCFFEE"/>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FFEE"/>
            </w:tcBorders>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CCFFE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2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1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80" w:type="dxa"/>
            <w:vAlign w:val="bottom"/>
            <w:shd w:val="clear" w:color="auto" w:fill="CCFFEE"/>
          </w:tcPr>
          <w:p>
            <w:pPr>
              <w:spacing w:after="0"/>
              <w:rPr>
                <w:sz w:val="13"/>
                <w:szCs w:val="13"/>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400,000</w:t>
            </w:r>
          </w:p>
        </w:tc>
        <w:tc>
          <w:tcPr>
            <w:tcW w:w="180" w:type="dxa"/>
            <w:vAlign w:val="bottom"/>
            <w:shd w:val="clear" w:color="auto" w:fill="CCFFEE"/>
          </w:tcPr>
          <w:p>
            <w:pPr>
              <w:spacing w:after="0"/>
              <w:rPr>
                <w:sz w:val="13"/>
                <w:szCs w:val="13"/>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11,591</w:t>
            </w:r>
          </w:p>
        </w:tc>
        <w:tc>
          <w:tcPr>
            <w:tcW w:w="200" w:type="dxa"/>
            <w:vAlign w:val="bottom"/>
            <w:shd w:val="clear" w:color="auto" w:fill="CCFFE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Shawn Munsell</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124,500</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3,608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1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46%</w:t>
            </w:r>
          </w:p>
        </w:tc>
        <w:tc>
          <w:tcPr>
            <w:tcW w:w="180" w:type="dxa"/>
            <w:vAlign w:val="bottom"/>
            <w:shd w:val="clear" w:color="auto" w:fill="CCFFEE"/>
          </w:tcPr>
          <w:p>
            <w:pPr>
              <w:spacing w:after="0"/>
              <w:rPr>
                <w:sz w:val="14"/>
                <w:szCs w:val="14"/>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82,500</w:t>
            </w:r>
          </w:p>
        </w:tc>
        <w:tc>
          <w:tcPr>
            <w:tcW w:w="180" w:type="dxa"/>
            <w:vAlign w:val="bottom"/>
            <w:shd w:val="clear" w:color="auto" w:fill="CCFFEE"/>
          </w:tcPr>
          <w:p>
            <w:pPr>
              <w:spacing w:after="0"/>
              <w:rPr>
                <w:sz w:val="14"/>
                <w:szCs w:val="14"/>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2,400</w:t>
            </w:r>
          </w:p>
        </w:tc>
        <w:tc>
          <w:tcPr>
            <w:tcW w:w="200" w:type="dxa"/>
            <w:vAlign w:val="bottom"/>
            <w:shd w:val="clear" w:color="auto" w:fill="CCFFE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Danny Dumas</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103,750</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Helen Kurtz</w:t>
            </w:r>
          </w:p>
        </w:tc>
        <w:tc>
          <w:tcPr>
            <w:tcW w:w="192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shd w:val="clear" w:color="auto" w:fill="CCFFEE"/>
          </w:tcPr>
          <w:p>
            <w:pPr>
              <w:spacing w:after="0"/>
              <w:rPr>
                <w:sz w:val="14"/>
                <w:szCs w:val="14"/>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107,500</w:t>
            </w:r>
          </w:p>
        </w:tc>
        <w:tc>
          <w:tcPr>
            <w:tcW w:w="180" w:type="dxa"/>
            <w:vAlign w:val="bottom"/>
            <w:shd w:val="clear" w:color="auto" w:fill="CCFFEE"/>
          </w:tcPr>
          <w:p>
            <w:pPr>
              <w:spacing w:after="0"/>
              <w:rPr>
                <w:sz w:val="14"/>
                <w:szCs w:val="14"/>
                <w:color w:val="auto"/>
              </w:rPr>
            </w:pPr>
          </w:p>
        </w:tc>
        <w:tc>
          <w:tcPr>
            <w:tcW w:w="10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3,116</w:t>
            </w:r>
          </w:p>
        </w:tc>
        <w:tc>
          <w:tcPr>
            <w:tcW w:w="200" w:type="dxa"/>
            <w:vAlign w:val="bottom"/>
            <w:shd w:val="clear" w:color="auto" w:fill="CCFFEE"/>
          </w:tcPr>
          <w:p>
            <w:pPr>
              <w:spacing w:after="0"/>
              <w:rPr>
                <w:sz w:val="14"/>
                <w:szCs w:val="14"/>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fiscal year 2023 LTIP, each named executive officer listed below is eligible to receive the following PRSUs: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840" w:type="dxa"/>
            <w:vAlign w:val="bottom"/>
            <w:tcBorders>
              <w:top w:val="single" w:sz="8" w:color="DCE6F2"/>
            </w:tcBorders>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2280" w:type="dxa"/>
            <w:vAlign w:val="bottom"/>
            <w:tcBorders>
              <w:top w:val="single" w:sz="8" w:color="DCE6F2"/>
            </w:tcBorders>
            <w:gridSpan w:val="2"/>
          </w:tcPr>
          <w:p>
            <w:pPr>
              <w:jc w:val="center"/>
              <w:ind w:right="160"/>
              <w:spacing w:after="0" w:line="92" w:lineRule="exact"/>
              <w:rPr>
                <w:sz w:val="20"/>
                <w:szCs w:val="20"/>
                <w:color w:val="auto"/>
              </w:rPr>
            </w:pPr>
            <w:r>
              <w:rPr>
                <w:rFonts w:ascii="Times New Roman" w:cs="Times New Roman" w:eastAsia="Times New Roman" w:hAnsi="Times New Roman"/>
                <w:sz w:val="10"/>
                <w:szCs w:val="10"/>
                <w:b w:val="1"/>
                <w:bCs w:val="1"/>
                <w:color w:val="auto"/>
                <w:w w:val="93"/>
              </w:rPr>
              <w:t>Total Target LTIP (PRSU)</w:t>
            </w:r>
          </w:p>
        </w:tc>
        <w:tc>
          <w:tcPr>
            <w:tcW w:w="1320" w:type="dxa"/>
            <w:vAlign w:val="bottom"/>
            <w:tcBorders>
              <w:top w:val="single" w:sz="8" w:color="DCE6F2"/>
            </w:tcBorders>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PRSUs Vesting at</w:t>
            </w:r>
          </w:p>
        </w:tc>
        <w:tc>
          <w:tcPr>
            <w:tcW w:w="1320" w:type="dxa"/>
            <w:vAlign w:val="bottom"/>
            <w:tcBorders>
              <w:top w:val="single" w:sz="8" w:color="DCE6F2"/>
            </w:tcBorders>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2"/>
              </w:rPr>
              <w:t>PRSUs Vesting at</w:t>
            </w:r>
          </w:p>
        </w:tc>
        <w:tc>
          <w:tcPr>
            <w:tcW w:w="1200" w:type="dxa"/>
            <w:vAlign w:val="bottom"/>
            <w:tcBorders>
              <w:top w:val="single" w:sz="8" w:color="DCE6F2"/>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PRSUs Vesting at</w:t>
            </w:r>
          </w:p>
        </w:tc>
        <w:tc>
          <w:tcPr>
            <w:tcW w:w="0" w:type="dxa"/>
            <w:vAlign w:val="bottom"/>
          </w:tcPr>
          <w:p>
            <w:pPr>
              <w:spacing w:after="0"/>
              <w:rPr>
                <w:sz w:val="1"/>
                <w:szCs w:val="1"/>
                <w:color w:val="auto"/>
              </w:rPr>
            </w:pPr>
          </w:p>
        </w:tc>
      </w:tr>
      <w:tr>
        <w:trPr>
          <w:trHeight w:val="99"/>
        </w:trPr>
        <w:tc>
          <w:tcPr>
            <w:tcW w:w="2840" w:type="dxa"/>
            <w:vAlign w:val="bottom"/>
            <w:gridSpan w:val="3"/>
            <w:vMerge w:val="continue"/>
          </w:tcPr>
          <w:p>
            <w:pPr>
              <w:spacing w:after="0"/>
              <w:rPr>
                <w:sz w:val="8"/>
                <w:szCs w:val="8"/>
                <w:color w:val="auto"/>
              </w:rPr>
            </w:pPr>
          </w:p>
        </w:tc>
        <w:tc>
          <w:tcPr>
            <w:tcW w:w="22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Opportunity for 2023</w:t>
            </w:r>
          </w:p>
        </w:tc>
        <w:tc>
          <w:tcPr>
            <w:tcW w:w="132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except as specified)</w:t>
            </w:r>
          </w:p>
        </w:tc>
        <w:tc>
          <w:tcPr>
            <w:tcW w:w="180" w:type="dxa"/>
            <w:vAlign w:val="bottom"/>
            <w:tcBorders>
              <w:bottom w:val="single" w:sz="8" w:color="CCFFEE"/>
            </w:tcBorders>
          </w:tcPr>
          <w:p>
            <w:pPr>
              <w:spacing w:after="0"/>
              <w:rPr>
                <w:sz w:val="10"/>
                <w:szCs w:val="1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of Base Salary)</w:t>
            </w:r>
          </w:p>
        </w:tc>
        <w:tc>
          <w:tcPr>
            <w:tcW w:w="180" w:type="dxa"/>
            <w:vAlign w:val="bottom"/>
            <w:tcBorders>
              <w:bottom w:val="single" w:sz="8" w:color="CCFFEE"/>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Performance Threshold</w:t>
            </w:r>
          </w:p>
        </w:tc>
        <w:tc>
          <w:tcPr>
            <w:tcW w:w="180" w:type="dxa"/>
            <w:vAlign w:val="bottom"/>
            <w:tcBorders>
              <w:bottom w:val="single" w:sz="8" w:color="CCFFEE"/>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Performance Target</w:t>
            </w:r>
          </w:p>
        </w:tc>
        <w:tc>
          <w:tcPr>
            <w:tcW w:w="180" w:type="dxa"/>
            <w:vAlign w:val="bottom"/>
            <w:tcBorders>
              <w:bottom w:val="single" w:sz="8" w:color="CCFFEE"/>
            </w:tcBorders>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Performance Maximum</w:t>
            </w:r>
          </w:p>
        </w:tc>
        <w:tc>
          <w:tcPr>
            <w:tcW w:w="0" w:type="dxa"/>
            <w:vAlign w:val="bottom"/>
          </w:tcPr>
          <w:p>
            <w:pPr>
              <w:spacing w:after="0"/>
              <w:rPr>
                <w:sz w:val="1"/>
                <w:szCs w:val="1"/>
                <w:color w:val="auto"/>
              </w:rPr>
            </w:pPr>
          </w:p>
        </w:tc>
      </w:tr>
      <w:tr>
        <w:trPr>
          <w:trHeight w:val="151"/>
        </w:trPr>
        <w:tc>
          <w:tcPr>
            <w:tcW w:w="284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Brian Kocher</w:t>
            </w:r>
          </w:p>
        </w:tc>
        <w:tc>
          <w:tcPr>
            <w:tcW w:w="21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80" w:type="dxa"/>
            <w:vAlign w:val="bottom"/>
            <w:shd w:val="clear" w:color="auto" w:fill="CCFFEE"/>
          </w:tcPr>
          <w:p>
            <w:pPr>
              <w:spacing w:after="0"/>
              <w:rPr>
                <w:sz w:val="13"/>
                <w:szCs w:val="13"/>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5,796</w:t>
            </w:r>
          </w:p>
        </w:tc>
        <w:tc>
          <w:tcPr>
            <w:tcW w:w="180" w:type="dxa"/>
            <w:vAlign w:val="bottom"/>
            <w:shd w:val="clear" w:color="auto" w:fill="CCFFEE"/>
          </w:tcPr>
          <w:p>
            <w:pPr>
              <w:spacing w:after="0"/>
              <w:rPr>
                <w:sz w:val="13"/>
                <w:szCs w:val="13"/>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11,591</w:t>
            </w:r>
          </w:p>
        </w:tc>
        <w:tc>
          <w:tcPr>
            <w:tcW w:w="180" w:type="dxa"/>
            <w:vAlign w:val="bottom"/>
            <w:shd w:val="clear" w:color="auto" w:fill="CCFFEE"/>
          </w:tcPr>
          <w:p>
            <w:pPr>
              <w:spacing w:after="0"/>
              <w:rPr>
                <w:sz w:val="13"/>
                <w:szCs w:val="13"/>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rPr>
              <w:t>23,182</w:t>
            </w:r>
          </w:p>
        </w:tc>
        <w:tc>
          <w:tcPr>
            <w:tcW w:w="0" w:type="dxa"/>
            <w:vAlign w:val="bottom"/>
          </w:tcPr>
          <w:p>
            <w:pPr>
              <w:spacing w:after="0"/>
              <w:rPr>
                <w:sz w:val="1"/>
                <w:szCs w:val="1"/>
                <w:color w:val="auto"/>
              </w:rPr>
            </w:pPr>
          </w:p>
        </w:tc>
      </w:tr>
      <w:tr>
        <w:trPr>
          <w:trHeight w:val="171"/>
        </w:trPr>
        <w:tc>
          <w:tcPr>
            <w:tcW w:w="2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Shawn Munsell</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1,804</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3,608</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7,216</w:t>
            </w:r>
          </w:p>
        </w:tc>
        <w:tc>
          <w:tcPr>
            <w:tcW w:w="0" w:type="dxa"/>
            <w:vAlign w:val="bottom"/>
          </w:tcPr>
          <w:p>
            <w:pPr>
              <w:spacing w:after="0"/>
              <w:rPr>
                <w:sz w:val="1"/>
                <w:szCs w:val="1"/>
                <w:color w:val="auto"/>
              </w:rPr>
            </w:pPr>
          </w:p>
        </w:tc>
      </w:tr>
      <w:tr>
        <w:trPr>
          <w:trHeight w:val="171"/>
        </w:trPr>
        <w:tc>
          <w:tcPr>
            <w:tcW w:w="284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21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46%</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1,200</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2,400</w:t>
            </w:r>
          </w:p>
        </w:tc>
        <w:tc>
          <w:tcPr>
            <w:tcW w:w="180" w:type="dxa"/>
            <w:vAlign w:val="bottom"/>
            <w:shd w:val="clear" w:color="auto" w:fill="CCFFEE"/>
          </w:tcPr>
          <w:p>
            <w:pPr>
              <w:spacing w:after="0"/>
              <w:rPr>
                <w:sz w:val="14"/>
                <w:szCs w:val="14"/>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4,800</w:t>
            </w:r>
          </w:p>
        </w:tc>
        <w:tc>
          <w:tcPr>
            <w:tcW w:w="0" w:type="dxa"/>
            <w:vAlign w:val="bottom"/>
          </w:tcPr>
          <w:p>
            <w:pPr>
              <w:spacing w:after="0"/>
              <w:rPr>
                <w:sz w:val="1"/>
                <w:szCs w:val="1"/>
                <w:color w:val="auto"/>
              </w:rPr>
            </w:pPr>
          </w:p>
        </w:tc>
      </w:tr>
      <w:tr>
        <w:trPr>
          <w:trHeight w:val="171"/>
        </w:trPr>
        <w:tc>
          <w:tcPr>
            <w:tcW w:w="2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Danny Dumas</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1,504</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3,007</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6,014</w:t>
            </w:r>
          </w:p>
        </w:tc>
        <w:tc>
          <w:tcPr>
            <w:tcW w:w="0" w:type="dxa"/>
            <w:vAlign w:val="bottom"/>
          </w:tcPr>
          <w:p>
            <w:pPr>
              <w:spacing w:after="0"/>
              <w:rPr>
                <w:sz w:val="1"/>
                <w:szCs w:val="1"/>
                <w:color w:val="auto"/>
              </w:rPr>
            </w:pPr>
          </w:p>
        </w:tc>
      </w:tr>
      <w:tr>
        <w:trPr>
          <w:trHeight w:val="171"/>
        </w:trPr>
        <w:tc>
          <w:tcPr>
            <w:tcW w:w="284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2"/>
                <w:szCs w:val="12"/>
                <w:color w:val="auto"/>
              </w:rPr>
              <w:t>Helen Kurtz</w:t>
            </w:r>
          </w:p>
        </w:tc>
        <w:tc>
          <w:tcPr>
            <w:tcW w:w="21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1,558</w:t>
            </w:r>
          </w:p>
        </w:tc>
        <w:tc>
          <w:tcPr>
            <w:tcW w:w="180" w:type="dxa"/>
            <w:vAlign w:val="bottom"/>
            <w:shd w:val="clear" w:color="auto" w:fill="CCFFEE"/>
          </w:tcPr>
          <w:p>
            <w:pPr>
              <w:spacing w:after="0"/>
              <w:rPr>
                <w:sz w:val="14"/>
                <w:szCs w:val="14"/>
                <w:color w:val="auto"/>
              </w:rPr>
            </w:pPr>
          </w:p>
        </w:tc>
        <w:tc>
          <w:tcPr>
            <w:tcW w:w="114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3,116</w:t>
            </w:r>
          </w:p>
        </w:tc>
        <w:tc>
          <w:tcPr>
            <w:tcW w:w="180" w:type="dxa"/>
            <w:vAlign w:val="bottom"/>
            <w:shd w:val="clear" w:color="auto" w:fill="CCFFEE"/>
          </w:tcPr>
          <w:p>
            <w:pPr>
              <w:spacing w:after="0"/>
              <w:rPr>
                <w:sz w:val="14"/>
                <w:szCs w:val="14"/>
                <w:color w:val="auto"/>
              </w:rPr>
            </w:pPr>
          </w:p>
        </w:tc>
        <w:tc>
          <w:tcPr>
            <w:tcW w:w="12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2"/>
                <w:szCs w:val="12"/>
                <w:color w:val="auto"/>
                <w:w w:val="96"/>
              </w:rPr>
              <w:t>6,232</w:t>
            </w: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On December 1, 2022, Calavo granted the following RSUs and PRSUs and the grant date share price of our common stock was $34.51 per share. Subject to continued service, a grantee’s RSUs will vest in three equal installments on November 1st of each of 2023, 2024 and 2025.</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Executive Officer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Target Awards ($)</w:t>
            </w:r>
          </w:p>
        </w:tc>
        <w:tc>
          <w:tcPr>
            <w:tcW w:w="100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RSUs</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PRSUs</w:t>
            </w:r>
          </w:p>
        </w:tc>
      </w:tr>
      <w:tr>
        <w:trPr>
          <w:trHeight w:val="133"/>
        </w:trPr>
        <w:tc>
          <w:tcPr>
            <w:tcW w:w="4160" w:type="dxa"/>
            <w:vAlign w:val="bottom"/>
            <w:tcBorders>
              <w:top w:val="single" w:sz="8" w:color="auto"/>
            </w:tcBorders>
            <w:shd w:val="clear" w:color="auto" w:fill="CCFFEE"/>
          </w:tcPr>
          <w:p>
            <w:pPr>
              <w:spacing w:after="0" w:line="133" w:lineRule="exact"/>
              <w:rPr>
                <w:sz w:val="20"/>
                <w:szCs w:val="20"/>
                <w:color w:val="auto"/>
              </w:rPr>
            </w:pPr>
            <w:r>
              <w:rPr>
                <w:rFonts w:ascii="Times New Roman" w:cs="Times New Roman" w:eastAsia="Times New Roman" w:hAnsi="Times New Roman"/>
                <w:sz w:val="12"/>
                <w:szCs w:val="12"/>
                <w:color w:val="auto"/>
              </w:rPr>
              <w:t>Brian Kocher</w:t>
            </w:r>
          </w:p>
        </w:tc>
        <w:tc>
          <w:tcPr>
            <w:tcW w:w="240" w:type="dxa"/>
            <w:vAlign w:val="bottom"/>
            <w:tcBorders>
              <w:top w:val="single" w:sz="8" w:color="CCFFEE"/>
            </w:tcBorders>
            <w:shd w:val="clear" w:color="auto" w:fill="CCFFEE"/>
          </w:tcPr>
          <w:p>
            <w:pPr>
              <w:spacing w:after="0"/>
              <w:rPr>
                <w:sz w:val="11"/>
                <w:szCs w:val="11"/>
                <w:color w:val="auto"/>
              </w:rPr>
            </w:pPr>
          </w:p>
        </w:tc>
        <w:tc>
          <w:tcPr>
            <w:tcW w:w="142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800,000</w:t>
            </w:r>
          </w:p>
        </w:tc>
        <w:tc>
          <w:tcPr>
            <w:tcW w:w="140" w:type="dxa"/>
            <w:vAlign w:val="bottom"/>
            <w:tcBorders>
              <w:top w:val="single" w:sz="8" w:color="CCFFEE"/>
            </w:tcBorders>
            <w:shd w:val="clear" w:color="auto" w:fill="CCFFEE"/>
          </w:tcPr>
          <w:p>
            <w:pPr>
              <w:spacing w:after="0"/>
              <w:rPr>
                <w:sz w:val="11"/>
                <w:szCs w:val="11"/>
                <w:color w:val="auto"/>
              </w:rPr>
            </w:pPr>
          </w:p>
        </w:tc>
        <w:tc>
          <w:tcPr>
            <w:tcW w:w="1000" w:type="dxa"/>
            <w:vAlign w:val="bottom"/>
            <w:tcBorders>
              <w:top w:val="single" w:sz="8" w:color="auto"/>
            </w:tcBorders>
            <w:shd w:val="clear" w:color="auto" w:fill="CCFFEE"/>
          </w:tcPr>
          <w:p>
            <w:pPr>
              <w:spacing w:after="0"/>
              <w:rPr>
                <w:sz w:val="11"/>
                <w:szCs w:val="11"/>
                <w:color w:val="auto"/>
              </w:rPr>
            </w:pPr>
          </w:p>
        </w:tc>
        <w:tc>
          <w:tcPr>
            <w:tcW w:w="52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11,591</w:t>
            </w:r>
          </w:p>
        </w:tc>
        <w:tc>
          <w:tcPr>
            <w:tcW w:w="160" w:type="dxa"/>
            <w:vAlign w:val="bottom"/>
            <w:tcBorders>
              <w:top w:val="single" w:sz="8" w:color="CCFFEE"/>
            </w:tcBorders>
            <w:shd w:val="clear" w:color="auto" w:fill="CCFFEE"/>
          </w:tcPr>
          <w:p>
            <w:pPr>
              <w:spacing w:after="0"/>
              <w:rPr>
                <w:sz w:val="11"/>
                <w:szCs w:val="11"/>
                <w:color w:val="auto"/>
              </w:rPr>
            </w:pPr>
          </w:p>
        </w:tc>
        <w:tc>
          <w:tcPr>
            <w:tcW w:w="120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11,591</w:t>
            </w:r>
          </w:p>
        </w:tc>
        <w:tc>
          <w:tcPr>
            <w:tcW w:w="140" w:type="dxa"/>
            <w:vAlign w:val="bottom"/>
            <w:tcBorders>
              <w:top w:val="single" w:sz="8" w:color="CCFFEE"/>
            </w:tcBorders>
            <w:shd w:val="clear" w:color="auto" w:fill="CCFFEE"/>
          </w:tcPr>
          <w:p>
            <w:pPr>
              <w:spacing w:after="0"/>
              <w:rPr>
                <w:sz w:val="11"/>
                <w:szCs w:val="11"/>
                <w:color w:val="auto"/>
              </w:rPr>
            </w:pPr>
          </w:p>
        </w:tc>
      </w:tr>
      <w:tr>
        <w:trPr>
          <w:trHeight w:val="144"/>
        </w:trPr>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Shawn Munsell</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249,000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3,608</w:t>
            </w:r>
          </w:p>
        </w:tc>
        <w:tc>
          <w:tcPr>
            <w:tcW w:w="1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3,608</w:t>
            </w:r>
          </w:p>
        </w:tc>
        <w:tc>
          <w:tcPr>
            <w:tcW w:w="140" w:type="dxa"/>
            <w:vAlign w:val="bottom"/>
          </w:tcPr>
          <w:p>
            <w:pPr>
              <w:spacing w:after="0"/>
              <w:rPr>
                <w:sz w:val="12"/>
                <w:szCs w:val="12"/>
                <w:color w:val="auto"/>
              </w:rPr>
            </w:pPr>
          </w:p>
        </w:tc>
      </w:tr>
      <w:tr>
        <w:trPr>
          <w:trHeight w:val="144"/>
        </w:trPr>
        <w:tc>
          <w:tcPr>
            <w:tcW w:w="44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Graciela Montgomery</w:t>
            </w:r>
          </w:p>
        </w:tc>
        <w:tc>
          <w:tcPr>
            <w:tcW w:w="14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165,000</w:t>
            </w:r>
          </w:p>
        </w:tc>
        <w:tc>
          <w:tcPr>
            <w:tcW w:w="140" w:type="dxa"/>
            <w:vAlign w:val="bottom"/>
            <w:shd w:val="clear" w:color="auto" w:fill="CCFFEE"/>
          </w:tcPr>
          <w:p>
            <w:pPr>
              <w:spacing w:after="0"/>
              <w:rPr>
                <w:sz w:val="12"/>
                <w:szCs w:val="12"/>
                <w:color w:val="auto"/>
              </w:rPr>
            </w:pPr>
          </w:p>
        </w:tc>
        <w:tc>
          <w:tcPr>
            <w:tcW w:w="1000" w:type="dxa"/>
            <w:vAlign w:val="bottom"/>
            <w:shd w:val="clear" w:color="auto" w:fill="CCFFEE"/>
          </w:tcPr>
          <w:p>
            <w:pPr>
              <w:spacing w:after="0"/>
              <w:rPr>
                <w:sz w:val="12"/>
                <w:szCs w:val="12"/>
                <w:color w:val="auto"/>
              </w:rPr>
            </w:pPr>
          </w:p>
        </w:tc>
        <w:tc>
          <w:tcPr>
            <w:tcW w:w="5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160" w:type="dxa"/>
            <w:vAlign w:val="bottom"/>
            <w:shd w:val="clear" w:color="auto" w:fill="CCFFEE"/>
          </w:tcPr>
          <w:p>
            <w:pPr>
              <w:spacing w:after="0"/>
              <w:rPr>
                <w:sz w:val="12"/>
                <w:szCs w:val="12"/>
                <w:color w:val="auto"/>
              </w:rPr>
            </w:pP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140" w:type="dxa"/>
            <w:vAlign w:val="bottom"/>
            <w:shd w:val="clear" w:color="auto" w:fill="CCFFEE"/>
          </w:tcPr>
          <w:p>
            <w:pPr>
              <w:spacing w:after="0"/>
              <w:rPr>
                <w:sz w:val="12"/>
                <w:szCs w:val="12"/>
                <w:color w:val="auto"/>
              </w:rPr>
            </w:pPr>
          </w:p>
        </w:tc>
      </w:tr>
      <w:tr>
        <w:trPr>
          <w:trHeight w:val="144"/>
        </w:trPr>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Danny Dumas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207,500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3,007</w:t>
            </w:r>
          </w:p>
        </w:tc>
        <w:tc>
          <w:tcPr>
            <w:tcW w:w="1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3,007</w:t>
            </w:r>
          </w:p>
        </w:tc>
        <w:tc>
          <w:tcPr>
            <w:tcW w:w="140" w:type="dxa"/>
            <w:vAlign w:val="bottom"/>
          </w:tcPr>
          <w:p>
            <w:pPr>
              <w:spacing w:after="0"/>
              <w:rPr>
                <w:sz w:val="12"/>
                <w:szCs w:val="12"/>
                <w:color w:val="auto"/>
              </w:rPr>
            </w:pPr>
          </w:p>
        </w:tc>
      </w:tr>
      <w:tr>
        <w:trPr>
          <w:trHeight w:val="144"/>
        </w:trPr>
        <w:tc>
          <w:tcPr>
            <w:tcW w:w="440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2"/>
                <w:szCs w:val="12"/>
                <w:color w:val="auto"/>
              </w:rPr>
              <w:t>Helen Kurtz</w:t>
            </w:r>
          </w:p>
        </w:tc>
        <w:tc>
          <w:tcPr>
            <w:tcW w:w="14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215,000</w:t>
            </w:r>
          </w:p>
        </w:tc>
        <w:tc>
          <w:tcPr>
            <w:tcW w:w="140" w:type="dxa"/>
            <w:vAlign w:val="bottom"/>
            <w:shd w:val="clear" w:color="auto" w:fill="CCFFEE"/>
          </w:tcPr>
          <w:p>
            <w:pPr>
              <w:spacing w:after="0"/>
              <w:rPr>
                <w:sz w:val="12"/>
                <w:szCs w:val="12"/>
                <w:color w:val="auto"/>
              </w:rPr>
            </w:pPr>
          </w:p>
        </w:tc>
        <w:tc>
          <w:tcPr>
            <w:tcW w:w="1000" w:type="dxa"/>
            <w:vAlign w:val="bottom"/>
            <w:shd w:val="clear" w:color="auto" w:fill="CCFFEE"/>
          </w:tcPr>
          <w:p>
            <w:pPr>
              <w:spacing w:after="0"/>
              <w:rPr>
                <w:sz w:val="12"/>
                <w:szCs w:val="12"/>
                <w:color w:val="auto"/>
              </w:rPr>
            </w:pPr>
          </w:p>
        </w:tc>
        <w:tc>
          <w:tcPr>
            <w:tcW w:w="5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3,116</w:t>
            </w:r>
          </w:p>
        </w:tc>
        <w:tc>
          <w:tcPr>
            <w:tcW w:w="160" w:type="dxa"/>
            <w:vAlign w:val="bottom"/>
            <w:shd w:val="clear" w:color="auto" w:fill="CCFFEE"/>
          </w:tcPr>
          <w:p>
            <w:pPr>
              <w:spacing w:after="0"/>
              <w:rPr>
                <w:sz w:val="12"/>
                <w:szCs w:val="12"/>
                <w:color w:val="auto"/>
              </w:rPr>
            </w:pPr>
          </w:p>
        </w:tc>
        <w:tc>
          <w:tcPr>
            <w:tcW w:w="12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3,116</w:t>
            </w:r>
          </w:p>
        </w:tc>
        <w:tc>
          <w:tcPr>
            <w:tcW w:w="140" w:type="dxa"/>
            <w:vAlign w:val="bottom"/>
            <w:shd w:val="clear" w:color="auto" w:fill="CCFFEE"/>
          </w:tcPr>
          <w:p>
            <w:pPr>
              <w:spacing w:after="0"/>
              <w:rPr>
                <w:sz w:val="12"/>
                <w:szCs w:val="12"/>
                <w:color w:val="auto"/>
              </w:rPr>
            </w:pPr>
          </w:p>
        </w:tc>
      </w:tr>
    </w:tbl>
    <w:p>
      <w:pPr>
        <w:spacing w:after="0" w:line="133" w:lineRule="exact"/>
        <w:rPr>
          <w:sz w:val="20"/>
          <w:szCs w:val="20"/>
          <w:color w:val="auto"/>
        </w:rPr>
      </w:pPr>
    </w:p>
    <w:p>
      <w:pPr>
        <w:jc w:val="both"/>
        <w:ind w:left="20" w:right="79"/>
        <w:spacing w:after="0" w:line="265" w:lineRule="auto"/>
        <w:rPr>
          <w:sz w:val="20"/>
          <w:szCs w:val="20"/>
          <w:color w:val="auto"/>
        </w:rPr>
      </w:pPr>
      <w:r>
        <w:rPr>
          <w:rFonts w:ascii="Times New Roman" w:cs="Times New Roman" w:eastAsia="Times New Roman" w:hAnsi="Times New Roman"/>
          <w:sz w:val="12"/>
          <w:szCs w:val="12"/>
          <w:color w:val="auto"/>
        </w:rPr>
        <w:t>The estimated grant date values for the above stock awards were computed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Other Stock Awards</w:t>
      </w:r>
    </w:p>
    <w:p>
      <w:pPr>
        <w:spacing w:after="0" w:line="154"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color w:val="auto"/>
        </w:rPr>
        <w:t>On February 1, 2022, Brian Kocher, was granted 28,993 restricted shares as provided by his employment agreement. The closing share price of our common stock on such grant date was $41.39. Subject to Mr. Kocher’s continued employment, these shares will vest over three years on an annual basis, with the first installment vesting on February 1, 2023. The grant fair value of restricted stock granted to Mr. Kocher was $1,200,000.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left="20" w:right="299"/>
        <w:spacing w:after="0" w:line="265" w:lineRule="auto"/>
        <w:rPr>
          <w:sz w:val="20"/>
          <w:szCs w:val="20"/>
          <w:color w:val="auto"/>
        </w:rPr>
      </w:pPr>
      <w:r>
        <w:rPr>
          <w:rFonts w:ascii="Times New Roman" w:cs="Times New Roman" w:eastAsia="Times New Roman" w:hAnsi="Times New Roman"/>
          <w:sz w:val="12"/>
          <w:szCs w:val="12"/>
          <w:color w:val="auto"/>
        </w:rPr>
        <w:t>On June 20, 2022, Shawn Munsell, was granted 9,002 RSUs as provided by his employment agreement. The closing share price of our common stock on such grant date was $38.88. Subject to Mr. Munsell’s continued employment, these shares will vest over three years on an annual basis, with the first installment vesting on June 20, 2023. The grant fair value of restricted stock granted to Mr. Munsell was $350,000.</w:t>
      </w:r>
    </w:p>
    <w:p>
      <w:pPr>
        <w:spacing w:after="0" w:line="119" w:lineRule="exact"/>
        <w:rPr>
          <w:sz w:val="20"/>
          <w:szCs w:val="20"/>
          <w:color w:val="auto"/>
        </w:rPr>
      </w:pPr>
    </w:p>
    <w:p>
      <w:pPr>
        <w:jc w:val="both"/>
        <w:ind w:left="20" w:right="379"/>
        <w:spacing w:after="0" w:line="265" w:lineRule="auto"/>
        <w:rPr>
          <w:sz w:val="20"/>
          <w:szCs w:val="20"/>
          <w:color w:val="auto"/>
        </w:rPr>
      </w:pPr>
      <w:r>
        <w:rPr>
          <w:rFonts w:ascii="Times New Roman" w:cs="Times New Roman" w:eastAsia="Times New Roman" w:hAnsi="Times New Roman"/>
          <w:sz w:val="12"/>
          <w:szCs w:val="12"/>
          <w:color w:val="auto"/>
        </w:rPr>
        <w:t>On July 11, 2022, Danny Dumas, was granted 3,533 RSUs as provided by his employment agreement. The closing share price of our common stock on such grant date was $42.46. Subject to Mr. Dumas’s continued employment, these shares will vest over three years on an annual basis, with the first installment vesting on July 11, 2023. The grant fair value of restricted stock granted to Mr. Dumas was $150,000.</w:t>
      </w:r>
    </w:p>
    <w:p>
      <w:pPr>
        <w:spacing w:after="0" w:line="119" w:lineRule="exact"/>
        <w:rPr>
          <w:sz w:val="20"/>
          <w:szCs w:val="20"/>
          <w:color w:val="auto"/>
        </w:rPr>
      </w:pPr>
    </w:p>
    <w:p>
      <w:pPr>
        <w:ind w:left="20" w:right="279"/>
        <w:spacing w:after="0" w:line="265" w:lineRule="auto"/>
        <w:rPr>
          <w:sz w:val="20"/>
          <w:szCs w:val="20"/>
          <w:color w:val="auto"/>
        </w:rPr>
      </w:pPr>
      <w:r>
        <w:rPr>
          <w:rFonts w:ascii="Times New Roman" w:cs="Times New Roman" w:eastAsia="Times New Roman" w:hAnsi="Times New Roman"/>
          <w:sz w:val="12"/>
          <w:szCs w:val="12"/>
          <w:color w:val="auto"/>
        </w:rPr>
        <w:t>On August 16, 2022, Helen Kurtz was granted 6,778 RSUs as provided by her employment agreement. The closing share price of our common stock on such grant date was $44.26. Subject to Ms. Kurtz’s continued employment, these shares will vest over three years on an annual basis, with the first installment vesting on August 16, 2023. The grant fair value of restricted stock granted to Ms. Kurtz was $300,000.</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All of the above equity compensation awards were issued under the 2020 Plan.</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Other Compensation Practices, Policies and Guidelines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Benefits and Perquisites</w:t>
      </w:r>
    </w:p>
    <w:p>
      <w:pPr>
        <w:spacing w:after="0" w:line="154" w:lineRule="exact"/>
        <w:rPr>
          <w:sz w:val="20"/>
          <w:szCs w:val="20"/>
          <w:color w:val="auto"/>
        </w:rPr>
      </w:pPr>
    </w:p>
    <w:p>
      <w:pPr>
        <w:ind w:left="20" w:right="239"/>
        <w:spacing w:after="0" w:line="257" w:lineRule="auto"/>
        <w:rPr>
          <w:sz w:val="20"/>
          <w:szCs w:val="20"/>
          <w:color w:val="auto"/>
        </w:rPr>
      </w:pPr>
      <w:r>
        <w:rPr>
          <w:rFonts w:ascii="Times New Roman" w:cs="Times New Roman" w:eastAsia="Times New Roman" w:hAnsi="Times New Roman"/>
          <w:sz w:val="12"/>
          <w:szCs w:val="12"/>
          <w:color w:val="auto"/>
        </w:rPr>
        <w:t>Benefits and perquisites are designed to attract and retain key employees. Currently, our named executive officers are eligible to participate in benefit plans available to all employees, including our 401(k) plan and general health and welfare benefits. We have a defined contribution 401(k) plan that allows for immediate participation and vesting. This 401(k) plan matches 100% of the first 3% contributed and 50% of the next 2% for a maximum of 4% of compensation. General health and welfare benefits and our 401(k) plan are provided to substantially all of our full-time U.S. employees. In addition, we provide a car allowance to each of our named executive officers. We provide these benefits to create additional incentives for our named executive officers and to remain competitive in the general marketplace for executive talent.</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 Ownership Guidelines</w:t>
      </w:r>
    </w:p>
    <w:p>
      <w:pPr>
        <w:spacing w:after="0" w:line="109" w:lineRule="exact"/>
        <w:rPr>
          <w:sz w:val="20"/>
          <w:szCs w:val="20"/>
          <w:color w:val="auto"/>
        </w:rPr>
      </w:pPr>
    </w:p>
    <w:p>
      <w:pPr>
        <w:ind w:left="20" w:right="99"/>
        <w:spacing w:after="0" w:line="256" w:lineRule="auto"/>
        <w:rPr>
          <w:sz w:val="20"/>
          <w:szCs w:val="20"/>
          <w:color w:val="auto"/>
        </w:rPr>
      </w:pPr>
      <w:r>
        <w:rPr>
          <w:rFonts w:ascii="Times New Roman" w:cs="Times New Roman" w:eastAsia="Times New Roman" w:hAnsi="Times New Roman"/>
          <w:sz w:val="12"/>
          <w:szCs w:val="12"/>
          <w:color w:val="auto"/>
        </w:rPr>
        <w:t>The Board believes the interests of its directors and Executive Officers are best aligned with shareholders when the directors and Executive Officers are personally invested in the Company beyond their thought and service leadership. The term “Executive Officers” means any “officer” as defined in Rule 16a-1 under the Securities Exchange Act of 1934, as amended. In fiscal 2022, the Board updated and materially increased its stock holding requirements for non-employee directors and Executive Officers. Our Chief Executive Officer is required to own equity in the Company with a cumulative value of at least 500% of his or her annual base salary. All other Executive Officers are required to own equity in the Company with a cumulative value of at least 200% of his or her annual base salary. Directors and Executive Officers have until August 29, 2027, or if later, five years from the date the director is elected or Executive Officer is appointed, to comply with these stock ownership requirements.</w:t>
      </w:r>
    </w:p>
    <w:p>
      <w:pPr>
        <w:spacing w:after="0" w:line="80" w:lineRule="exact"/>
        <w:rPr>
          <w:sz w:val="20"/>
          <w:szCs w:val="20"/>
          <w:color w:val="auto"/>
        </w:rPr>
      </w:pPr>
    </w:p>
    <w:p>
      <w:pPr>
        <w:ind w:left="20" w:right="159"/>
        <w:spacing w:after="0" w:line="265" w:lineRule="auto"/>
        <w:rPr>
          <w:sz w:val="20"/>
          <w:szCs w:val="20"/>
          <w:color w:val="auto"/>
        </w:rPr>
      </w:pPr>
      <w:r>
        <w:rPr>
          <w:rFonts w:ascii="Times New Roman" w:cs="Times New Roman" w:eastAsia="Times New Roman" w:hAnsi="Times New Roman"/>
          <w:sz w:val="12"/>
          <w:szCs w:val="12"/>
          <w:color w:val="auto"/>
        </w:rPr>
        <w:t>The minimum share ownership levels for each Executive Officer or director will be determined annually as of January 31 of the applicable year based on the then-current annual base salary and the average daily closing price per share of the Company’s common stock for the month of January, or the fair market value on the date the shares of common stock or equity award were acquired, whichever is greater.</w:t>
      </w:r>
    </w:p>
    <w:p>
      <w:pPr>
        <w:spacing w:after="0" w:line="119"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In the event an Executive Officer or director’s ownership guidelines are not achieved after the applicable five-year period, each Executive Officer and director is expected to retain not less than 50% of the number of shares awarded to him or her under the 2020 Plan, net the number of shares the Executive Officer or director has applied to the payment of</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taxes on such awards. Progress towards meeting the guidelines will be presented to the Board at least annually in such manner as requested by the Board.</w:t>
      </w:r>
    </w:p>
    <w:p>
      <w:pPr>
        <w:spacing w:after="0" w:line="150"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The following types of equity will be counted toward the stock ownership requirement: shares owned directly; shares owned jointly with or separately by a spouse; shares held in trust for the benefit of the holder, the holder’s spouse and/or the holder’s children; restricted shares, including shares granted but not yet vested; vested RSUs; and unvested RSUs. Unvested PRSUs and unexercised stock options do not count toward meeting the stock ownership requirements.</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All of our executive officers have satisfied this stock ownership requirement.</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Clawback Provisions</w:t>
      </w:r>
    </w:p>
    <w:p>
      <w:pPr>
        <w:spacing w:after="0" w:line="109" w:lineRule="exact"/>
        <w:rPr>
          <w:sz w:val="20"/>
          <w:szCs w:val="20"/>
          <w:color w:val="auto"/>
        </w:rPr>
      </w:pPr>
    </w:p>
    <w:p>
      <w:pPr>
        <w:ind w:left="20" w:right="119"/>
        <w:spacing w:after="0" w:line="257" w:lineRule="auto"/>
        <w:rPr>
          <w:sz w:val="20"/>
          <w:szCs w:val="20"/>
          <w:color w:val="auto"/>
        </w:rPr>
      </w:pPr>
      <w:r>
        <w:rPr>
          <w:rFonts w:ascii="Times New Roman" w:cs="Times New Roman" w:eastAsia="Times New Roman" w:hAnsi="Times New Roman"/>
          <w:sz w:val="12"/>
          <w:szCs w:val="12"/>
          <w:color w:val="auto"/>
        </w:rPr>
        <w:t>Under the employment agreements for the named executive officers, any incentive-based compensation, or any other compensation, paid is subject to recovery by Calavo under any law, government regulation or stock exchange listing requirement and will be subject to such deductions and “clawback” as may be required to be made pursuant to such law, government regulation or stock exchange listing requirement or which is subject to recovery under any clawback policy adopted by Calavo that is applicable to its executive officers. Calavo will make any determination for clawback or recovery in accordance with its determination of any applicable law or regulation and based upon its review of any clawback policy adopted by Calavo.</w:t>
      </w:r>
    </w:p>
    <w:p>
      <w:pPr>
        <w:spacing w:after="0" w:line="125" w:lineRule="exact"/>
        <w:rPr>
          <w:sz w:val="20"/>
          <w:szCs w:val="20"/>
          <w:color w:val="auto"/>
        </w:rPr>
      </w:pPr>
    </w:p>
    <w:p>
      <w:pPr>
        <w:ind w:left="20" w:right="59"/>
        <w:spacing w:after="0" w:line="253" w:lineRule="auto"/>
        <w:rPr>
          <w:sz w:val="20"/>
          <w:szCs w:val="20"/>
          <w:color w:val="auto"/>
        </w:rPr>
      </w:pPr>
      <w:r>
        <w:rPr>
          <w:rFonts w:ascii="Times New Roman" w:cs="Times New Roman" w:eastAsia="Times New Roman" w:hAnsi="Times New Roman"/>
          <w:sz w:val="12"/>
          <w:szCs w:val="12"/>
          <w:color w:val="auto"/>
        </w:rPr>
        <w:t>In December 2022, the Compensation Committee adopted a clawback policy applicable to Calavo’s current and former executive officers. The clawback policy applies to Incentive Compensation (as defined in the policy and described below) approved, awarded or granted on or after December 1, 2022 and provides that in the event Calavo is required to prepare an accounting restatement of its financial statements due to Calavo’s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subject to the policy received by a covered executive during the three completed fiscal years immediately preceding the date on which Calavo is required to prepare an accounting restatement. The policy defines Incentive Compensation as any compensation granted, earned, or vested based wholly or in part on the attainment of a financial reporting measure, which in turn is a measure determined and presented in accordance with the accounting principles used in preparing Calavo’s financial statements, and any measure that are derived wholly or in part from such measures.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Such amount will be computed without regard to any taxes paid by the Covered Executive.</w:t>
      </w:r>
    </w:p>
    <w:p>
      <w:pPr>
        <w:spacing w:after="0" w:line="83"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In addition, under the terms of the 2020 Plan, if, due to the material noncompliance of the Company with any financial reporting requirement of the United States securities laws, rules and regulations, the Company is required to prepare an accounting restatement of its financial statements, the Company will take the following actions with respect to each award that was granted under the 2020 Plan during the three-year period preceding the date on which the Company becomes required to prepare such restatement, regardless as to whether such restatement is attributable to any 2020 Plan Participant’s (“Participant”) or other person’s negligence, fraud or other misconduct:</w:t>
      </w:r>
    </w:p>
    <w:p>
      <w:pPr>
        <w:spacing w:after="0" w:line="77" w:lineRule="exact"/>
        <w:rPr>
          <w:sz w:val="20"/>
          <w:szCs w:val="20"/>
          <w:color w:val="auto"/>
        </w:rPr>
      </w:pPr>
    </w:p>
    <w:p>
      <w:pPr>
        <w:jc w:val="both"/>
        <w:ind w:left="680" w:right="99" w:hanging="224"/>
        <w:spacing w:after="0" w:line="265" w:lineRule="auto"/>
        <w:tabs>
          <w:tab w:leader="none" w:pos="6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award is unpaid, unvested or unexercised, the Company will cancel all or a portion of the award, if and to the extent that the Compensation Committee determines that the award to the Participant was based upon erroneous data contained in the Company’s financial statements and was in excess of the award that the Participant would have received based upon the Company’s restated financial statements;</w:t>
      </w:r>
    </w:p>
    <w:p>
      <w:pPr>
        <w:spacing w:after="0" w:line="73" w:lineRule="exact"/>
        <w:rPr>
          <w:rFonts w:ascii="Times New Roman" w:cs="Times New Roman" w:eastAsia="Times New Roman" w:hAnsi="Times New Roman"/>
          <w:sz w:val="12"/>
          <w:szCs w:val="12"/>
          <w:color w:val="auto"/>
        </w:rPr>
      </w:pPr>
    </w:p>
    <w:p>
      <w:pPr>
        <w:ind w:left="680" w:right="419" w:hanging="224"/>
        <w:spacing w:after="0" w:line="279" w:lineRule="auto"/>
        <w:tabs>
          <w:tab w:leader="none" w:pos="6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shares have been issued by the Company to the Participant under the award and have vested, the Participant will be required to transfer to the Company, for no consideration, all or a portion of such shares or a cash amount equal to the fair market value of such shares as of the date of the restated financial</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left="680" w:right="359"/>
        <w:spacing w:after="0" w:line="265" w:lineRule="auto"/>
        <w:rPr>
          <w:sz w:val="20"/>
          <w:szCs w:val="20"/>
          <w:color w:val="auto"/>
        </w:rPr>
      </w:pPr>
      <w:r>
        <w:rPr>
          <w:rFonts w:ascii="Times New Roman" w:cs="Times New Roman" w:eastAsia="Times New Roman" w:hAnsi="Times New Roman"/>
          <w:sz w:val="12"/>
          <w:szCs w:val="12"/>
          <w:color w:val="auto"/>
        </w:rPr>
        <w:t>statements, if and to the extent that the Compensation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p>
      <w:pPr>
        <w:spacing w:after="0" w:line="65" w:lineRule="exact"/>
        <w:rPr>
          <w:sz w:val="20"/>
          <w:szCs w:val="20"/>
          <w:color w:val="auto"/>
        </w:rPr>
      </w:pPr>
    </w:p>
    <w:p>
      <w:pPr>
        <w:ind w:left="680" w:right="139" w:hanging="224"/>
        <w:spacing w:after="0" w:line="260" w:lineRule="auto"/>
        <w:tabs>
          <w:tab w:leader="none" w:pos="6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award has been paid in cash by the Company to the Participant under the award, the Participant will be required to return to the Company, for no consideration, all or a portion of such cash, if and to the extent that the Compensation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Policy Prohibiting the Hedging or Pledging of Company Stock</w:t>
      </w:r>
    </w:p>
    <w:p>
      <w:pPr>
        <w:spacing w:after="0" w:line="100" w:lineRule="exact"/>
        <w:rPr>
          <w:sz w:val="20"/>
          <w:szCs w:val="20"/>
          <w:color w:val="auto"/>
        </w:rPr>
      </w:pPr>
    </w:p>
    <w:p>
      <w:pPr>
        <w:ind w:left="20" w:right="99"/>
        <w:spacing w:after="0" w:line="257" w:lineRule="auto"/>
        <w:rPr>
          <w:sz w:val="20"/>
          <w:szCs w:val="20"/>
          <w:color w:val="auto"/>
        </w:rPr>
      </w:pPr>
      <w:r>
        <w:rPr>
          <w:rFonts w:ascii="Times New Roman" w:cs="Times New Roman" w:eastAsia="Times New Roman" w:hAnsi="Times New Roman"/>
          <w:sz w:val="12"/>
          <w:szCs w:val="12"/>
          <w:color w:val="auto"/>
        </w:rPr>
        <w:t>We maintain an Anti-Hedging/Anti-Pledging Policy that prohibits our directors and executive officers from entering into derivative or hedging transactions in our securities and pledging our securities as collateral for a loan or short-selling our securities, among other restricted transactions. An exception to the restrictions in the policy may be permitted with the written approval of the Board or the Chair of the Nominating and Governance Committee for transactions or positions that predated the policy or in unusual circumstances that do not violate the spirit and intent of the policy. No such exception will be granted for short sales that would violate Section 16(c) of the Securities Exchange Act of 1934, as amended (the “Exchange Act”).</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In addition, we maintain an Insider Trading Policy that prohibits our directors, officers and employees from engaging in (i) short sales of our securities, unless part of an approved hedging transaction, (ii) transactions in put options, call options or other derivative securities on an exchange or in any other organized market, (iii) hedging or monetization transactions, unless expressly permitted under the Anti-Hedging/Anti-Pledging Policy, (iv) margin accounts or pledging transactions, unless expressly permitted under the Anti-Hedging/Anti-Pledging Policy and (v) standing or limit orders, subject to exception.</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Tax Considerations</w:t>
      </w:r>
    </w:p>
    <w:p>
      <w:pPr>
        <w:spacing w:after="0" w:line="105" w:lineRule="exact"/>
        <w:rPr>
          <w:sz w:val="20"/>
          <w:szCs w:val="20"/>
          <w:color w:val="auto"/>
        </w:rPr>
      </w:pPr>
    </w:p>
    <w:p>
      <w:pPr>
        <w:ind w:left="20" w:right="159"/>
        <w:spacing w:after="0" w:line="257" w:lineRule="auto"/>
        <w:rPr>
          <w:sz w:val="20"/>
          <w:szCs w:val="20"/>
          <w:color w:val="auto"/>
        </w:rPr>
      </w:pPr>
      <w:r>
        <w:rPr>
          <w:rFonts w:ascii="Times New Roman" w:cs="Times New Roman" w:eastAsia="Times New Roman" w:hAnsi="Times New Roman"/>
          <w:sz w:val="12"/>
          <w:szCs w:val="12"/>
          <w:color w:val="auto"/>
        </w:rPr>
        <w:t>Prior to the Tax Cuts and Jobs Act of 2017 (“</w:t>
      </w:r>
      <w:r>
        <w:rPr>
          <w:rFonts w:ascii="Times New Roman" w:cs="Times New Roman" w:eastAsia="Times New Roman" w:hAnsi="Times New Roman"/>
          <w:sz w:val="12"/>
          <w:szCs w:val="12"/>
          <w:b w:val="1"/>
          <w:bCs w:val="1"/>
          <w:color w:val="auto"/>
        </w:rPr>
        <w:t>TCJA</w:t>
      </w:r>
      <w:r>
        <w:rPr>
          <w:rFonts w:ascii="Times New Roman" w:cs="Times New Roman" w:eastAsia="Times New Roman" w:hAnsi="Times New Roman"/>
          <w:sz w:val="12"/>
          <w:szCs w:val="12"/>
          <w:color w:val="auto"/>
        </w:rPr>
        <w:t>”), Section 162(m) of the Internal Revenue Code generally disallowed a tax deduction to publicly held companies for compensation paid to certain executive officers in excess of $1 million per officer in any year that did not qualify as performance based. Under the TCJA, the performance-based exception has been repealed and the $1 million deduction limit now applies to anyone serving (or who has served) as the chief executive officer or the chief financial officer at any time during a fiscal year and the top three other highest compensated executive officers serving at any fiscal year-end. While the Compensation Committee considers tax deductibility as one of many factors in determining executive compensation, the Compensation Committee will award compensation that it determines to be consistent with the goals of our executive compensation program even if such compensation is not fully tax deductible.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100" w:lineRule="exact"/>
        <w:rPr>
          <w:sz w:val="20"/>
          <w:szCs w:val="20"/>
          <w:color w:val="auto"/>
        </w:rPr>
      </w:pPr>
    </w:p>
    <w:p>
      <w:pPr>
        <w:jc w:val="both"/>
        <w:ind w:left="20" w:right="179"/>
        <w:spacing w:after="0" w:line="265" w:lineRule="auto"/>
        <w:rPr>
          <w:sz w:val="20"/>
          <w:szCs w:val="20"/>
          <w:color w:val="auto"/>
        </w:rPr>
      </w:pPr>
      <w:r>
        <w:rPr>
          <w:rFonts w:ascii="Times New Roman" w:cs="Times New Roman" w:eastAsia="Times New Roman" w:hAnsi="Times New Roman"/>
          <w:sz w:val="12"/>
          <w:szCs w:val="12"/>
          <w:color w:val="auto"/>
        </w:rPr>
        <w:t>The Compensation Committee of the Board of Directors of Calavo Growers, Inc. has reviewed and discussed with the Chief Executive Officer the above Compensation Discussion and Analysis. Based on this review and discussion, the Compensation Committee unanimously recommended to the Board of Directors that the Compensation Discussion and Analysis be included in this proxy statement.</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COMPENSATION COMMITTEE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Kathleen M. Holmgren, Chair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John Hunt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James Helin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Farha Aslam</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The following table shows information concerning the annual compensation for services provided to Calavo by each person who served as our Chief Executive Officer (including interim Chief Executive Officer) during the 2022 fiscal year, by each person who served as our Chief Financial Officer (including interim Chief Financial Officer) during the 2022 fiscal year, and by our three other most highly compensated executive officers (along with other executive officers who served during part of fiscal year 2022 and who are required to be included) during the three preceding fiscal years.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and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1040" w:type="dxa"/>
            <w:vAlign w:val="bottom"/>
            <w:gridSpan w:val="2"/>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w w:val="93"/>
              </w:rPr>
              <w:t>All</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gridSpan w:val="2"/>
          </w:tcPr>
          <w:p>
            <w:pPr>
              <w:jc w:val="center"/>
              <w:ind w:right="164"/>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560" w:type="dxa"/>
            <w:vAlign w:val="bottom"/>
            <w:vMerge w:val="restart"/>
          </w:tcPr>
          <w:p>
            <w:pPr>
              <w:jc w:val="right"/>
              <w:ind w:right="135"/>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Principal</w:t>
            </w:r>
          </w:p>
        </w:tc>
        <w:tc>
          <w:tcPr>
            <w:tcW w:w="100" w:type="dxa"/>
            <w:vAlign w:val="bottom"/>
          </w:tcPr>
          <w:p>
            <w:pPr>
              <w:spacing w:after="0"/>
              <w:rPr>
                <w:sz w:val="8"/>
                <w:szCs w:val="8"/>
                <w:color w:val="auto"/>
              </w:rPr>
            </w:pP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Year</w:t>
            </w:r>
          </w:p>
        </w:tc>
        <w:tc>
          <w:tcPr>
            <w:tcW w:w="660" w:type="dxa"/>
            <w:vAlign w:val="bottom"/>
            <w:gridSpan w:val="2"/>
            <w:vMerge w:val="continue"/>
          </w:tcPr>
          <w:p>
            <w:pPr>
              <w:spacing w:after="0"/>
              <w:rPr>
                <w:sz w:val="8"/>
                <w:szCs w:val="8"/>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Bonus ($)</w:t>
            </w: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xml:space="preserve">Stock Awards </w:t>
            </w:r>
            <w:r>
              <w:rPr>
                <w:rFonts w:ascii="Times New Roman" w:cs="Times New Roman" w:eastAsia="Times New Roman" w:hAnsi="Times New Roman"/>
                <w:sz w:val="7"/>
                <w:szCs w:val="7"/>
                <w:color w:val="auto"/>
              </w:rPr>
              <w:t>(1)(13)</w:t>
            </w:r>
            <w:r>
              <w:rPr>
                <w:rFonts w:ascii="Times New Roman" w:cs="Times New Roman" w:eastAsia="Times New Roman" w:hAnsi="Times New Roman"/>
                <w:sz w:val="10"/>
                <w:szCs w:val="10"/>
                <w:b w:val="1"/>
                <w:bCs w:val="1"/>
                <w:color w:val="auto"/>
              </w:rPr>
              <w:t xml:space="preserve"> ($)</w:t>
            </w:r>
          </w:p>
        </w:tc>
        <w:tc>
          <w:tcPr>
            <w:tcW w:w="128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10"/>
                <w:szCs w:val="10"/>
                <w:b w:val="1"/>
                <w:bCs w:val="1"/>
                <w:color w:val="auto"/>
                <w:w w:val="92"/>
              </w:rPr>
              <w:t xml:space="preserve">Awards </w:t>
            </w:r>
            <w:r>
              <w:rPr>
                <w:rFonts w:ascii="Times New Roman" w:cs="Times New Roman" w:eastAsia="Times New Roman" w:hAnsi="Times New Roman"/>
                <w:sz w:val="7"/>
                <w:szCs w:val="7"/>
                <w:color w:val="auto"/>
                <w:w w:val="92"/>
              </w:rPr>
              <w:t>(13)</w:t>
            </w:r>
          </w:p>
        </w:tc>
        <w:tc>
          <w:tcPr>
            <w:tcW w:w="1040" w:type="dxa"/>
            <w:vAlign w:val="bottom"/>
            <w:gridSpan w:val="2"/>
          </w:tcPr>
          <w:p>
            <w:pPr>
              <w:jc w:val="center"/>
              <w:ind w:right="164"/>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2"/>
              </w:rPr>
              <w:t>Position</w:t>
            </w:r>
          </w:p>
        </w:tc>
        <w:tc>
          <w:tcPr>
            <w:tcW w:w="10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520" w:type="dxa"/>
            <w:vAlign w:val="bottom"/>
          </w:tcPr>
          <w:p>
            <w:pPr>
              <w:jc w:val="right"/>
              <w:ind w:right="155"/>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spacing w:after="0"/>
              <w:rPr>
                <w:sz w:val="10"/>
                <w:szCs w:val="10"/>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80" w:type="dxa"/>
            <w:vAlign w:val="bottom"/>
            <w:tcBorders>
              <w:top w:val="single" w:sz="8" w:color="auto"/>
            </w:tcBorders>
            <w:gridSpan w:val="2"/>
            <w:shd w:val="clear" w:color="auto" w:fill="CCFFEE"/>
          </w:tcPr>
          <w:p>
            <w:pPr>
              <w:spacing w:after="0" w:line="74" w:lineRule="exact"/>
              <w:rPr>
                <w:sz w:val="20"/>
                <w:szCs w:val="20"/>
                <w:color w:val="auto"/>
              </w:rPr>
            </w:pPr>
            <w:r>
              <w:rPr>
                <w:rFonts w:ascii="Times New Roman" w:cs="Times New Roman" w:eastAsia="Times New Roman" w:hAnsi="Times New Roman"/>
                <w:sz w:val="8"/>
                <w:szCs w:val="8"/>
                <w:color w:val="auto"/>
              </w:rPr>
              <w:t xml:space="preserve">Brian Kocher </w:t>
            </w:r>
            <w:r>
              <w:rPr>
                <w:rFonts w:ascii="Times New Roman" w:cs="Times New Roman" w:eastAsia="Times New Roman" w:hAnsi="Times New Roman"/>
                <w:sz w:val="6"/>
                <w:szCs w:val="6"/>
                <w:color w:val="auto"/>
              </w:rPr>
              <w:t>(11)</w:t>
            </w:r>
          </w:p>
        </w:tc>
        <w:tc>
          <w:tcPr>
            <w:tcW w:w="100" w:type="dxa"/>
            <w:vAlign w:val="bottom"/>
            <w:tcBorders>
              <w:top w:val="single" w:sz="8" w:color="CCFFEE"/>
            </w:tcBorders>
            <w:shd w:val="clear" w:color="auto" w:fill="CCFFEE"/>
          </w:tcPr>
          <w:p>
            <w:pPr>
              <w:spacing w:after="0"/>
              <w:rPr>
                <w:sz w:val="6"/>
                <w:szCs w:val="6"/>
                <w:color w:val="auto"/>
              </w:rPr>
            </w:pPr>
          </w:p>
        </w:tc>
        <w:tc>
          <w:tcPr>
            <w:tcW w:w="360" w:type="dxa"/>
            <w:vAlign w:val="bottom"/>
            <w:tcBorders>
              <w:top w:val="single" w:sz="8" w:color="auto"/>
            </w:tcBorders>
            <w:shd w:val="clear" w:color="auto" w:fill="CCFFEE"/>
          </w:tcPr>
          <w:p>
            <w:pPr>
              <w:ind w:left="80"/>
              <w:spacing w:after="0" w:line="74"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tcBorders>
              <w:top w:val="single" w:sz="8" w:color="CCFFEE"/>
            </w:tcBorders>
            <w:shd w:val="clear" w:color="auto" w:fill="CCFFEE"/>
          </w:tcPr>
          <w:p>
            <w:pPr>
              <w:spacing w:after="0"/>
              <w:rPr>
                <w:sz w:val="6"/>
                <w:szCs w:val="6"/>
                <w:color w:val="auto"/>
              </w:rPr>
            </w:pPr>
          </w:p>
        </w:tc>
        <w:tc>
          <w:tcPr>
            <w:tcW w:w="520" w:type="dxa"/>
            <w:vAlign w:val="bottom"/>
            <w:tcBorders>
              <w:top w:val="single" w:sz="8" w:color="auto"/>
            </w:tcBorders>
            <w:shd w:val="clear" w:color="auto" w:fill="CCFFEE"/>
          </w:tcPr>
          <w:p>
            <w:pPr>
              <w:jc w:val="right"/>
              <w:spacing w:after="0" w:line="74" w:lineRule="exact"/>
              <w:rPr>
                <w:sz w:val="20"/>
                <w:szCs w:val="20"/>
                <w:color w:val="auto"/>
              </w:rPr>
            </w:pPr>
            <w:r>
              <w:rPr>
                <w:rFonts w:ascii="Times New Roman" w:cs="Times New Roman" w:eastAsia="Times New Roman" w:hAnsi="Times New Roman"/>
                <w:sz w:val="8"/>
                <w:szCs w:val="8"/>
                <w:color w:val="auto"/>
              </w:rPr>
              <w:t>584,616</w:t>
            </w:r>
          </w:p>
        </w:tc>
        <w:tc>
          <w:tcPr>
            <w:tcW w:w="140" w:type="dxa"/>
            <w:vAlign w:val="bottom"/>
            <w:tcBorders>
              <w:top w:val="single" w:sz="8" w:color="CCFFEE"/>
            </w:tcBorders>
            <w:shd w:val="clear" w:color="auto" w:fill="CCFFEE"/>
          </w:tcPr>
          <w:p>
            <w:pPr>
              <w:spacing w:after="0"/>
              <w:rPr>
                <w:sz w:val="6"/>
                <w:szCs w:val="6"/>
                <w:color w:val="auto"/>
              </w:rPr>
            </w:pPr>
          </w:p>
        </w:tc>
        <w:tc>
          <w:tcPr>
            <w:tcW w:w="660" w:type="dxa"/>
            <w:vAlign w:val="bottom"/>
            <w:tcBorders>
              <w:top w:val="single" w:sz="8" w:color="auto"/>
            </w:tcBorders>
            <w:shd w:val="clear" w:color="auto" w:fill="CCFFEE"/>
          </w:tcPr>
          <w:p>
            <w:pPr>
              <w:jc w:val="right"/>
              <w:spacing w:after="0" w:line="74" w:lineRule="exact"/>
              <w:rPr>
                <w:sz w:val="20"/>
                <w:szCs w:val="20"/>
                <w:color w:val="auto"/>
              </w:rPr>
            </w:pPr>
            <w:r>
              <w:rPr>
                <w:rFonts w:ascii="Times New Roman" w:cs="Times New Roman" w:eastAsia="Times New Roman" w:hAnsi="Times New Roman"/>
                <w:sz w:val="8"/>
                <w:szCs w:val="8"/>
                <w:color w:val="auto"/>
              </w:rPr>
              <w:t>300,000</w:t>
            </w:r>
          </w:p>
        </w:tc>
        <w:tc>
          <w:tcPr>
            <w:tcW w:w="140" w:type="dxa"/>
            <w:vAlign w:val="bottom"/>
            <w:tcBorders>
              <w:top w:val="single" w:sz="8" w:color="CCFFEE"/>
            </w:tcBorders>
            <w:shd w:val="clear" w:color="auto" w:fill="CCFFEE"/>
          </w:tcPr>
          <w:p>
            <w:pPr>
              <w:spacing w:after="0"/>
              <w:rPr>
                <w:sz w:val="6"/>
                <w:szCs w:val="6"/>
                <w:color w:val="auto"/>
              </w:rPr>
            </w:pPr>
          </w:p>
        </w:tc>
        <w:tc>
          <w:tcPr>
            <w:tcW w:w="1180" w:type="dxa"/>
            <w:vAlign w:val="bottom"/>
            <w:tcBorders>
              <w:top w:val="single" w:sz="8" w:color="auto"/>
            </w:tcBorders>
            <w:shd w:val="clear" w:color="auto" w:fill="CCFFEE"/>
          </w:tcPr>
          <w:p>
            <w:pPr>
              <w:jc w:val="right"/>
              <w:spacing w:after="0" w:line="74" w:lineRule="exact"/>
              <w:rPr>
                <w:sz w:val="20"/>
                <w:szCs w:val="20"/>
                <w:color w:val="auto"/>
              </w:rPr>
            </w:pPr>
            <w:r>
              <w:rPr>
                <w:rFonts w:ascii="Times New Roman" w:cs="Times New Roman" w:eastAsia="Times New Roman" w:hAnsi="Times New Roman"/>
                <w:sz w:val="8"/>
                <w:szCs w:val="8"/>
                <w:color w:val="auto"/>
              </w:rPr>
              <w:t>2,100,000</w:t>
            </w:r>
          </w:p>
        </w:tc>
        <w:tc>
          <w:tcPr>
            <w:tcW w:w="60" w:type="dxa"/>
            <w:vAlign w:val="bottom"/>
            <w:tcBorders>
              <w:top w:val="single" w:sz="8" w:color="CCFFEE"/>
            </w:tcBorders>
            <w:shd w:val="clear" w:color="auto" w:fill="CCFFEE"/>
          </w:tcPr>
          <w:p>
            <w:pPr>
              <w:spacing w:after="0"/>
              <w:rPr>
                <w:sz w:val="6"/>
                <w:szCs w:val="6"/>
                <w:color w:val="auto"/>
              </w:rPr>
            </w:pPr>
          </w:p>
        </w:tc>
        <w:tc>
          <w:tcPr>
            <w:tcW w:w="960" w:type="dxa"/>
            <w:vAlign w:val="bottom"/>
            <w:tcBorders>
              <w:top w:val="single" w:sz="8" w:color="auto"/>
            </w:tcBorders>
            <w:shd w:val="clear" w:color="auto" w:fill="CCFFEE"/>
          </w:tcPr>
          <w:p>
            <w:pPr>
              <w:jc w:val="right"/>
              <w:spacing w:after="0" w:line="74"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Borders>
              <w:top w:val="single" w:sz="8" w:color="CCFFEE"/>
            </w:tcBorders>
            <w:shd w:val="clear" w:color="auto" w:fill="CCFFEE"/>
          </w:tcPr>
          <w:p>
            <w:pPr>
              <w:spacing w:after="0"/>
              <w:rPr>
                <w:sz w:val="6"/>
                <w:szCs w:val="6"/>
                <w:color w:val="auto"/>
              </w:rPr>
            </w:pPr>
          </w:p>
        </w:tc>
        <w:tc>
          <w:tcPr>
            <w:tcW w:w="940" w:type="dxa"/>
            <w:vAlign w:val="bottom"/>
            <w:tcBorders>
              <w:top w:val="single" w:sz="8" w:color="auto"/>
            </w:tcBorders>
            <w:shd w:val="clear" w:color="auto" w:fill="CCFFEE"/>
          </w:tcPr>
          <w:p>
            <w:pPr>
              <w:jc w:val="right"/>
              <w:spacing w:after="0" w:line="74" w:lineRule="exact"/>
              <w:rPr>
                <w:sz w:val="20"/>
                <w:szCs w:val="20"/>
                <w:color w:val="auto"/>
              </w:rPr>
            </w:pPr>
            <w:r>
              <w:rPr>
                <w:rFonts w:ascii="Times New Roman" w:cs="Times New Roman" w:eastAsia="Times New Roman" w:hAnsi="Times New Roman"/>
                <w:sz w:val="8"/>
                <w:szCs w:val="8"/>
                <w:color w:val="auto"/>
              </w:rPr>
              <w:t>91,813</w:t>
            </w:r>
          </w:p>
        </w:tc>
        <w:tc>
          <w:tcPr>
            <w:tcW w:w="100" w:type="dxa"/>
            <w:vAlign w:val="bottom"/>
            <w:tcBorders>
              <w:top w:val="single" w:sz="8" w:color="CCFFEE"/>
            </w:tcBorders>
            <w:shd w:val="clear" w:color="auto" w:fill="CCFFEE"/>
          </w:tcPr>
          <w:p>
            <w:pPr>
              <w:jc w:val="right"/>
              <w:spacing w:after="0" w:line="74" w:lineRule="exact"/>
              <w:rPr>
                <w:sz w:val="20"/>
                <w:szCs w:val="20"/>
                <w:color w:val="auto"/>
              </w:rPr>
            </w:pPr>
            <w:r>
              <w:rPr>
                <w:rFonts w:ascii="Times New Roman" w:cs="Times New Roman" w:eastAsia="Times New Roman" w:hAnsi="Times New Roman"/>
                <w:sz w:val="7"/>
                <w:szCs w:val="7"/>
                <w:color w:val="auto"/>
                <w:w w:val="72"/>
              </w:rPr>
              <w:t>(3)</w:t>
            </w:r>
          </w:p>
        </w:tc>
        <w:tc>
          <w:tcPr>
            <w:tcW w:w="560" w:type="dxa"/>
            <w:vAlign w:val="bottom"/>
            <w:tcBorders>
              <w:top w:val="single" w:sz="8" w:color="auto"/>
            </w:tcBorders>
            <w:shd w:val="clear" w:color="auto" w:fill="CCFFEE"/>
          </w:tcPr>
          <w:p>
            <w:pPr>
              <w:jc w:val="right"/>
              <w:spacing w:after="0" w:line="74" w:lineRule="exact"/>
              <w:rPr>
                <w:sz w:val="20"/>
                <w:szCs w:val="20"/>
                <w:color w:val="auto"/>
              </w:rPr>
            </w:pPr>
            <w:r>
              <w:rPr>
                <w:rFonts w:ascii="Times New Roman" w:cs="Times New Roman" w:eastAsia="Times New Roman" w:hAnsi="Times New Roman"/>
                <w:sz w:val="8"/>
                <w:szCs w:val="8"/>
                <w:color w:val="auto"/>
              </w:rPr>
              <w:t>3,076,429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80" w:type="dxa"/>
            <w:vAlign w:val="bottom"/>
            <w:gridSpan w:val="2"/>
            <w:shd w:val="clear" w:color="auto" w:fill="CCFFEE"/>
          </w:tcPr>
          <w:p>
            <w:pPr>
              <w:spacing w:after="0"/>
              <w:rPr>
                <w:sz w:val="20"/>
                <w:szCs w:val="20"/>
                <w:color w:val="auto"/>
              </w:rPr>
            </w:pPr>
            <w:r>
              <w:rPr>
                <w:rFonts w:ascii="Times New Roman" w:cs="Times New Roman" w:eastAsia="Times New Roman" w:hAnsi="Times New Roman"/>
                <w:sz w:val="10"/>
                <w:szCs w:val="10"/>
                <w:color w:val="auto"/>
              </w:rPr>
              <w:t>Chief Executive Officer</w:t>
            </w:r>
          </w:p>
        </w:tc>
        <w:tc>
          <w:tcPr>
            <w:tcW w:w="100" w:type="dxa"/>
            <w:vAlign w:val="bottom"/>
            <w:shd w:val="clear" w:color="auto" w:fill="CCFFEE"/>
          </w:tcPr>
          <w:p>
            <w:pPr>
              <w:spacing w:after="0"/>
              <w:rPr>
                <w:sz w:val="10"/>
                <w:szCs w:val="10"/>
                <w:color w:val="auto"/>
              </w:rPr>
            </w:pPr>
          </w:p>
        </w:tc>
        <w:tc>
          <w:tcPr>
            <w:tcW w:w="36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52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66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118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60" w:type="dxa"/>
            <w:vAlign w:val="bottom"/>
            <w:shd w:val="clear" w:color="auto" w:fill="CCFFEE"/>
          </w:tcPr>
          <w:p>
            <w:pPr>
              <w:spacing w:after="0"/>
              <w:rPr>
                <w:sz w:val="10"/>
                <w:szCs w:val="10"/>
                <w:color w:val="auto"/>
              </w:rPr>
            </w:pPr>
          </w:p>
        </w:tc>
        <w:tc>
          <w:tcPr>
            <w:tcW w:w="320" w:type="dxa"/>
            <w:vAlign w:val="bottom"/>
            <w:shd w:val="clear" w:color="auto" w:fill="CCFFEE"/>
          </w:tcPr>
          <w:p>
            <w:pPr>
              <w:spacing w:after="0"/>
              <w:rPr>
                <w:sz w:val="10"/>
                <w:szCs w:val="10"/>
                <w:color w:val="auto"/>
              </w:rPr>
            </w:pPr>
          </w:p>
        </w:tc>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560" w:type="dxa"/>
            <w:vAlign w:val="bottom"/>
            <w:shd w:val="clear" w:color="auto" w:fill="CCFFE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2220" w:type="dxa"/>
            <w:vAlign w:val="bottom"/>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3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spacing w:after="0"/>
              <w:rPr>
                <w:sz w:val="7"/>
                <w:szCs w:val="7"/>
                <w:color w:val="auto"/>
              </w:rPr>
            </w:pP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spacing w:after="0"/>
              <w:rPr>
                <w:sz w:val="7"/>
                <w:szCs w:val="7"/>
                <w:color w:val="auto"/>
              </w:rPr>
            </w:pPr>
          </w:p>
        </w:tc>
        <w:tc>
          <w:tcPr>
            <w:tcW w:w="320" w:type="dxa"/>
            <w:vAlign w:val="bottom"/>
            <w:shd w:val="clear" w:color="auto" w:fill="CCFFEE"/>
          </w:tcPr>
          <w:p>
            <w:pPr>
              <w:spacing w:after="0"/>
              <w:rPr>
                <w:sz w:val="7"/>
                <w:szCs w:val="7"/>
                <w:color w:val="auto"/>
              </w:rPr>
            </w:pPr>
          </w:p>
        </w:tc>
        <w:tc>
          <w:tcPr>
            <w:tcW w:w="94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continue"/>
          </w:tcPr>
          <w:p>
            <w:pPr>
              <w:spacing w:after="0"/>
              <w:rPr>
                <w:sz w:val="7"/>
                <w:szCs w:val="7"/>
                <w:color w:val="auto"/>
              </w:rPr>
            </w:pPr>
          </w:p>
        </w:tc>
        <w:tc>
          <w:tcPr>
            <w:tcW w:w="27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Shawn Munsell </w:t>
            </w:r>
            <w:r>
              <w:rPr>
                <w:rFonts w:ascii="Times New Roman" w:cs="Times New Roman" w:eastAsia="Times New Roman" w:hAnsi="Times New Roman"/>
                <w:sz w:val="6"/>
                <w:szCs w:val="6"/>
                <w:color w:val="auto"/>
              </w:rPr>
              <w:t>(10)</w:t>
            </w:r>
          </w:p>
        </w:tc>
        <w:tc>
          <w:tcPr>
            <w:tcW w:w="460" w:type="dxa"/>
            <w:vAlign w:val="bottom"/>
            <w:gridSpan w:val="2"/>
          </w:tcPr>
          <w:p>
            <w:pPr>
              <w:ind w:left="180"/>
              <w:spacing w:after="0" w:line="85"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tcPr>
          <w:p>
            <w:pPr>
              <w:spacing w:after="0"/>
              <w:rPr>
                <w:sz w:val="7"/>
                <w:szCs w:val="7"/>
                <w:color w:val="auto"/>
              </w:rPr>
            </w:pPr>
          </w:p>
        </w:tc>
        <w:tc>
          <w:tcPr>
            <w:tcW w:w="52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143,654</w:t>
            </w:r>
          </w:p>
        </w:tc>
        <w:tc>
          <w:tcPr>
            <w:tcW w:w="14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41,500</w:t>
            </w:r>
          </w:p>
        </w:tc>
        <w:tc>
          <w:tcPr>
            <w:tcW w:w="140" w:type="dxa"/>
            <w:vAlign w:val="bottom"/>
          </w:tcPr>
          <w:p>
            <w:pPr>
              <w:spacing w:after="0"/>
              <w:rPr>
                <w:sz w:val="7"/>
                <w:szCs w:val="7"/>
                <w:color w:val="auto"/>
              </w:rPr>
            </w:pPr>
          </w:p>
        </w:tc>
        <w:tc>
          <w:tcPr>
            <w:tcW w:w="11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350,000</w:t>
            </w:r>
          </w:p>
        </w:tc>
        <w:tc>
          <w:tcPr>
            <w:tcW w:w="60" w:type="dxa"/>
            <w:vAlign w:val="bottom"/>
          </w:tcPr>
          <w:p>
            <w:pPr>
              <w:spacing w:after="0"/>
              <w:rPr>
                <w:sz w:val="7"/>
                <w:szCs w:val="7"/>
                <w:color w:val="auto"/>
              </w:rPr>
            </w:pPr>
          </w:p>
        </w:tc>
        <w:tc>
          <w:tcPr>
            <w:tcW w:w="9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7"/>
                <w:szCs w:val="7"/>
                <w:color w:val="auto"/>
              </w:rPr>
            </w:pPr>
          </w:p>
        </w:tc>
        <w:tc>
          <w:tcPr>
            <w:tcW w:w="104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8"/>
                <w:szCs w:val="8"/>
                <w:color w:val="auto"/>
              </w:rPr>
              <w:t>8,038</w:t>
            </w:r>
            <w:r>
              <w:rPr>
                <w:rFonts w:ascii="Times New Roman" w:cs="Times New Roman" w:eastAsia="Times New Roman" w:hAnsi="Times New Roman"/>
                <w:sz w:val="6"/>
                <w:szCs w:val="6"/>
                <w:color w:val="auto"/>
              </w:rPr>
              <w:t>(4)</w:t>
            </w:r>
          </w:p>
        </w:tc>
        <w:tc>
          <w:tcPr>
            <w:tcW w:w="5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543,192</w:t>
            </w:r>
          </w:p>
        </w:tc>
        <w:tc>
          <w:tcPr>
            <w:tcW w:w="0" w:type="dxa"/>
            <w:vAlign w:val="bottom"/>
          </w:tcPr>
          <w:p>
            <w:pPr>
              <w:spacing w:after="0"/>
              <w:rPr>
                <w:sz w:val="1"/>
                <w:szCs w:val="1"/>
                <w:color w:val="auto"/>
              </w:rPr>
            </w:pPr>
          </w:p>
        </w:tc>
      </w:tr>
      <w:tr>
        <w:trPr>
          <w:trHeight w:val="123"/>
        </w:trPr>
        <w:tc>
          <w:tcPr>
            <w:tcW w:w="2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Chief Financial Officer</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240" w:type="dxa"/>
            <w:vAlign w:val="bottom"/>
            <w:gridSpan w:val="2"/>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800" w:type="dxa"/>
            <w:vAlign w:val="bottom"/>
            <w:gridSpan w:val="3"/>
            <w:shd w:val="clear" w:color="auto" w:fill="CCFFEE"/>
          </w:tcPr>
          <w:p>
            <w:pPr>
              <w:spacing w:after="0" w:line="85" w:lineRule="exact"/>
              <w:rPr>
                <w:sz w:val="20"/>
                <w:szCs w:val="20"/>
                <w:color w:val="auto"/>
              </w:rPr>
            </w:pPr>
            <w:r>
              <w:rPr>
                <w:rFonts w:ascii="Times New Roman" w:cs="Times New Roman" w:eastAsia="Times New Roman" w:hAnsi="Times New Roman"/>
                <w:sz w:val="8"/>
                <w:szCs w:val="8"/>
                <w:color w:val="auto"/>
              </w:rPr>
              <w:t xml:space="preserve">Steven Hollister </w:t>
            </w:r>
            <w:r>
              <w:rPr>
                <w:rFonts w:ascii="Times New Roman" w:cs="Times New Roman" w:eastAsia="Times New Roman" w:hAnsi="Times New Roman"/>
                <w:sz w:val="6"/>
                <w:szCs w:val="6"/>
                <w:color w:val="auto"/>
              </w:rPr>
              <w:t>(12)</w:t>
            </w:r>
          </w:p>
        </w:tc>
        <w:tc>
          <w:tcPr>
            <w:tcW w:w="460" w:type="dxa"/>
            <w:vAlign w:val="bottom"/>
            <w:gridSpan w:val="2"/>
            <w:shd w:val="clear" w:color="auto" w:fill="CCFFEE"/>
          </w:tcPr>
          <w:p>
            <w:pPr>
              <w:ind w:left="180"/>
              <w:spacing w:after="0" w:line="85"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150,000</w:t>
            </w: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FFEE"/>
          </w:tcPr>
          <w:p>
            <w:pPr>
              <w:spacing w:after="0"/>
              <w:rPr>
                <w:sz w:val="7"/>
                <w:szCs w:val="7"/>
                <w:color w:val="auto"/>
              </w:rPr>
            </w:pPr>
          </w:p>
        </w:tc>
        <w:tc>
          <w:tcPr>
            <w:tcW w:w="94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FFEE"/>
          </w:tcPr>
          <w:p>
            <w:pPr>
              <w:spacing w:after="0"/>
              <w:rPr>
                <w:sz w:val="7"/>
                <w:szCs w:val="7"/>
                <w:color w:val="auto"/>
              </w:rPr>
            </w:pPr>
          </w:p>
        </w:tc>
        <w:tc>
          <w:tcPr>
            <w:tcW w:w="5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150,000</w:t>
            </w:r>
          </w:p>
        </w:tc>
        <w:tc>
          <w:tcPr>
            <w:tcW w:w="0" w:type="dxa"/>
            <w:vAlign w:val="bottom"/>
          </w:tcPr>
          <w:p>
            <w:pPr>
              <w:spacing w:after="0"/>
              <w:rPr>
                <w:sz w:val="1"/>
                <w:szCs w:val="1"/>
                <w:color w:val="auto"/>
              </w:rPr>
            </w:pPr>
          </w:p>
        </w:tc>
      </w:tr>
      <w:tr>
        <w:trPr>
          <w:trHeight w:val="123"/>
        </w:trPr>
        <w:tc>
          <w:tcPr>
            <w:tcW w:w="280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0"/>
                <w:szCs w:val="10"/>
                <w:color w:val="auto"/>
              </w:rPr>
              <w:t>Former Interim Chief Executive Officer</w:t>
            </w:r>
          </w:p>
        </w:tc>
        <w:tc>
          <w:tcPr>
            <w:tcW w:w="460" w:type="dxa"/>
            <w:vAlign w:val="bottom"/>
            <w:gridSpan w:val="2"/>
            <w:shd w:val="clear" w:color="auto" w:fill="CCFFEE"/>
          </w:tcPr>
          <w:p>
            <w:pPr>
              <w:ind w:left="180"/>
              <w:spacing w:after="0"/>
              <w:rPr>
                <w:sz w:val="20"/>
                <w:szCs w:val="20"/>
                <w:color w:val="auto"/>
              </w:rPr>
            </w:pPr>
            <w:r>
              <w:rPr>
                <w:rFonts w:ascii="Times New Roman" w:cs="Times New Roman" w:eastAsia="Times New Roman" w:hAnsi="Times New Roman"/>
                <w:sz w:val="10"/>
                <w:szCs w:val="10"/>
                <w:color w:val="auto"/>
              </w:rPr>
              <w:t>2021</w:t>
            </w:r>
          </w:p>
        </w:tc>
        <w:tc>
          <w:tcPr>
            <w:tcW w:w="140" w:type="dxa"/>
            <w:vAlign w:val="bottom"/>
            <w:shd w:val="clear" w:color="auto" w:fill="CCFFEE"/>
          </w:tcPr>
          <w:p>
            <w:pPr>
              <w:spacing w:after="0"/>
              <w:rPr>
                <w:sz w:val="10"/>
                <w:szCs w:val="10"/>
                <w:color w:val="auto"/>
              </w:rPr>
            </w:pPr>
          </w:p>
        </w:tc>
        <w:tc>
          <w:tcPr>
            <w:tcW w:w="5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177,192</w:t>
            </w:r>
          </w:p>
        </w:tc>
        <w:tc>
          <w:tcPr>
            <w:tcW w:w="140" w:type="dxa"/>
            <w:vAlign w:val="bottom"/>
            <w:shd w:val="clear" w:color="auto" w:fill="CCFFEE"/>
          </w:tcPr>
          <w:p>
            <w:pPr>
              <w:spacing w:after="0"/>
              <w:rPr>
                <w:sz w:val="10"/>
                <w:szCs w:val="10"/>
                <w:color w:val="auto"/>
              </w:rPr>
            </w:pPr>
          </w:p>
        </w:tc>
        <w:tc>
          <w:tcPr>
            <w:tcW w:w="6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FFEE"/>
          </w:tcPr>
          <w:p>
            <w:pPr>
              <w:spacing w:after="0"/>
              <w:rPr>
                <w:sz w:val="10"/>
                <w:szCs w:val="10"/>
                <w:color w:val="auto"/>
              </w:rPr>
            </w:pPr>
          </w:p>
        </w:tc>
        <w:tc>
          <w:tcPr>
            <w:tcW w:w="118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FFEE"/>
          </w:tcPr>
          <w:p>
            <w:pPr>
              <w:spacing w:after="0"/>
              <w:rPr>
                <w:sz w:val="10"/>
                <w:szCs w:val="10"/>
                <w:color w:val="auto"/>
              </w:rPr>
            </w:pPr>
          </w:p>
        </w:tc>
        <w:tc>
          <w:tcPr>
            <w:tcW w:w="9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146,690</w:t>
            </w:r>
          </w:p>
        </w:tc>
        <w:tc>
          <w:tcPr>
            <w:tcW w:w="320" w:type="dxa"/>
            <w:vAlign w:val="bottom"/>
            <w:shd w:val="clear" w:color="auto" w:fill="CCFFEE"/>
          </w:tcPr>
          <w:p>
            <w:pPr>
              <w:spacing w:after="0"/>
              <w:rPr>
                <w:sz w:val="10"/>
                <w:szCs w:val="10"/>
                <w:color w:val="auto"/>
              </w:rPr>
            </w:pPr>
          </w:p>
        </w:tc>
        <w:tc>
          <w:tcPr>
            <w:tcW w:w="9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FFEE"/>
          </w:tcPr>
          <w:p>
            <w:pPr>
              <w:spacing w:after="0"/>
              <w:rPr>
                <w:sz w:val="10"/>
                <w:szCs w:val="10"/>
                <w:color w:val="auto"/>
              </w:rPr>
            </w:pPr>
          </w:p>
        </w:tc>
        <w:tc>
          <w:tcPr>
            <w:tcW w:w="5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323,882</w:t>
            </w:r>
          </w:p>
        </w:tc>
        <w:tc>
          <w:tcPr>
            <w:tcW w:w="0" w:type="dxa"/>
            <w:vAlign w:val="bottom"/>
          </w:tcPr>
          <w:p>
            <w:pPr>
              <w:spacing w:after="0"/>
              <w:rPr>
                <w:sz w:val="1"/>
                <w:szCs w:val="1"/>
                <w:color w:val="auto"/>
              </w:rPr>
            </w:pPr>
          </w:p>
        </w:tc>
      </w:tr>
      <w:tr>
        <w:trPr>
          <w:trHeight w:val="89"/>
        </w:trPr>
        <w:tc>
          <w:tcPr>
            <w:tcW w:w="2240" w:type="dxa"/>
            <w:vAlign w:val="bottom"/>
            <w:gridSpan w:val="2"/>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3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spacing w:after="0"/>
              <w:rPr>
                <w:sz w:val="7"/>
                <w:szCs w:val="7"/>
                <w:color w:val="auto"/>
              </w:rPr>
            </w:pP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spacing w:after="0"/>
              <w:rPr>
                <w:sz w:val="7"/>
                <w:szCs w:val="7"/>
                <w:color w:val="auto"/>
              </w:rPr>
            </w:pPr>
          </w:p>
        </w:tc>
        <w:tc>
          <w:tcPr>
            <w:tcW w:w="320" w:type="dxa"/>
            <w:vAlign w:val="bottom"/>
            <w:shd w:val="clear" w:color="auto" w:fill="CCFFEE"/>
          </w:tcPr>
          <w:p>
            <w:pPr>
              <w:spacing w:after="0"/>
              <w:rPr>
                <w:sz w:val="7"/>
                <w:szCs w:val="7"/>
                <w:color w:val="auto"/>
              </w:rPr>
            </w:pPr>
          </w:p>
        </w:tc>
        <w:tc>
          <w:tcPr>
            <w:tcW w:w="94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800" w:type="dxa"/>
            <w:vAlign w:val="bottom"/>
            <w:gridSpan w:val="3"/>
          </w:tcPr>
          <w:p>
            <w:pPr>
              <w:spacing w:after="0" w:line="85" w:lineRule="exact"/>
              <w:rPr>
                <w:sz w:val="20"/>
                <w:szCs w:val="20"/>
                <w:color w:val="auto"/>
              </w:rPr>
            </w:pPr>
            <w:r>
              <w:rPr>
                <w:rFonts w:ascii="Times New Roman" w:cs="Times New Roman" w:eastAsia="Times New Roman" w:hAnsi="Times New Roman"/>
                <w:sz w:val="8"/>
                <w:szCs w:val="8"/>
                <w:color w:val="auto"/>
              </w:rPr>
              <w:t xml:space="preserve">Mariela Matute </w:t>
            </w:r>
            <w:r>
              <w:rPr>
                <w:rFonts w:ascii="Times New Roman" w:cs="Times New Roman" w:eastAsia="Times New Roman" w:hAnsi="Times New Roman"/>
                <w:sz w:val="6"/>
                <w:szCs w:val="6"/>
                <w:color w:val="auto"/>
              </w:rPr>
              <w:t>(10)</w:t>
            </w:r>
          </w:p>
        </w:tc>
        <w:tc>
          <w:tcPr>
            <w:tcW w:w="460" w:type="dxa"/>
            <w:vAlign w:val="bottom"/>
            <w:gridSpan w:val="2"/>
          </w:tcPr>
          <w:p>
            <w:pPr>
              <w:ind w:left="180"/>
              <w:spacing w:after="0" w:line="85"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tcPr>
          <w:p>
            <w:pPr>
              <w:spacing w:after="0"/>
              <w:rPr>
                <w:sz w:val="7"/>
                <w:szCs w:val="7"/>
                <w:color w:val="auto"/>
              </w:rPr>
            </w:pPr>
          </w:p>
        </w:tc>
        <w:tc>
          <w:tcPr>
            <w:tcW w:w="52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219,123</w:t>
            </w:r>
          </w:p>
        </w:tc>
        <w:tc>
          <w:tcPr>
            <w:tcW w:w="14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11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9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7"/>
                <w:szCs w:val="7"/>
                <w:color w:val="auto"/>
              </w:rPr>
            </w:pPr>
          </w:p>
        </w:tc>
        <w:tc>
          <w:tcPr>
            <w:tcW w:w="104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8"/>
                <w:szCs w:val="8"/>
                <w:color w:val="auto"/>
              </w:rPr>
              <w:t>10,808</w:t>
            </w:r>
            <w:r>
              <w:rPr>
                <w:rFonts w:ascii="Times New Roman" w:cs="Times New Roman" w:eastAsia="Times New Roman" w:hAnsi="Times New Roman"/>
                <w:sz w:val="6"/>
                <w:szCs w:val="6"/>
                <w:color w:val="auto"/>
              </w:rPr>
              <w:t>(2)</w:t>
            </w:r>
          </w:p>
        </w:tc>
        <w:tc>
          <w:tcPr>
            <w:tcW w:w="5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229,931</w:t>
            </w:r>
          </w:p>
        </w:tc>
        <w:tc>
          <w:tcPr>
            <w:tcW w:w="0" w:type="dxa"/>
            <w:vAlign w:val="bottom"/>
          </w:tcPr>
          <w:p>
            <w:pPr>
              <w:spacing w:after="0"/>
              <w:rPr>
                <w:sz w:val="1"/>
                <w:szCs w:val="1"/>
                <w:color w:val="auto"/>
              </w:rPr>
            </w:pPr>
          </w:p>
        </w:tc>
      </w:tr>
      <w:tr>
        <w:trPr>
          <w:trHeight w:val="123"/>
        </w:trPr>
        <w:tc>
          <w:tcPr>
            <w:tcW w:w="2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Former Chief Financial Officer</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2021</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35,833</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300,000</w:t>
            </w:r>
          </w:p>
        </w:tc>
        <w:tc>
          <w:tcPr>
            <w:tcW w:w="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83,119</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418,952</w:t>
            </w:r>
          </w:p>
        </w:tc>
        <w:tc>
          <w:tcPr>
            <w:tcW w:w="0" w:type="dxa"/>
            <w:vAlign w:val="bottom"/>
          </w:tcPr>
          <w:p>
            <w:pPr>
              <w:spacing w:after="0"/>
              <w:rPr>
                <w:sz w:val="1"/>
                <w:szCs w:val="1"/>
                <w:color w:val="auto"/>
              </w:rPr>
            </w:pPr>
          </w:p>
        </w:tc>
      </w:tr>
      <w:tr>
        <w:trPr>
          <w:trHeight w:val="89"/>
        </w:trPr>
        <w:tc>
          <w:tcPr>
            <w:tcW w:w="2240" w:type="dxa"/>
            <w:vAlign w:val="bottom"/>
            <w:gridSpan w:val="2"/>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800" w:type="dxa"/>
            <w:vAlign w:val="bottom"/>
            <w:gridSpan w:val="3"/>
            <w:shd w:val="clear" w:color="auto" w:fill="CCFFEE"/>
          </w:tcPr>
          <w:p>
            <w:pPr>
              <w:spacing w:after="0" w:line="85" w:lineRule="exact"/>
              <w:rPr>
                <w:sz w:val="20"/>
                <w:szCs w:val="20"/>
                <w:color w:val="auto"/>
              </w:rPr>
            </w:pPr>
            <w:r>
              <w:rPr>
                <w:rFonts w:ascii="Times New Roman" w:cs="Times New Roman" w:eastAsia="Times New Roman" w:hAnsi="Times New Roman"/>
                <w:sz w:val="8"/>
                <w:szCs w:val="8"/>
                <w:color w:val="auto"/>
              </w:rPr>
              <w:t>Graciela Montgomery</w:t>
            </w:r>
          </w:p>
        </w:tc>
        <w:tc>
          <w:tcPr>
            <w:tcW w:w="460" w:type="dxa"/>
            <w:vAlign w:val="bottom"/>
            <w:gridSpan w:val="2"/>
            <w:shd w:val="clear" w:color="auto" w:fill="CCFFEE"/>
          </w:tcPr>
          <w:p>
            <w:pPr>
              <w:ind w:left="180"/>
              <w:spacing w:after="0" w:line="85"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350,000</w:t>
            </w: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56,000</w:t>
            </w: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140,000</w:t>
            </w: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FFEE"/>
          </w:tcPr>
          <w:p>
            <w:pPr>
              <w:spacing w:after="0"/>
              <w:rPr>
                <w:sz w:val="7"/>
                <w:szCs w:val="7"/>
                <w:color w:val="auto"/>
              </w:rPr>
            </w:pPr>
          </w:p>
        </w:tc>
        <w:tc>
          <w:tcPr>
            <w:tcW w:w="1040" w:type="dxa"/>
            <w:vAlign w:val="bottom"/>
            <w:gridSpan w:val="2"/>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28,914</w:t>
            </w:r>
            <w:r>
              <w:rPr>
                <w:rFonts w:ascii="Times New Roman" w:cs="Times New Roman" w:eastAsia="Times New Roman" w:hAnsi="Times New Roman"/>
                <w:sz w:val="6"/>
                <w:szCs w:val="6"/>
                <w:color w:val="auto"/>
              </w:rPr>
              <w:t>(5)</w:t>
            </w:r>
          </w:p>
        </w:tc>
        <w:tc>
          <w:tcPr>
            <w:tcW w:w="5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574,914</w:t>
            </w:r>
          </w:p>
        </w:tc>
        <w:tc>
          <w:tcPr>
            <w:tcW w:w="0" w:type="dxa"/>
            <w:vAlign w:val="bottom"/>
          </w:tcPr>
          <w:p>
            <w:pPr>
              <w:spacing w:after="0"/>
              <w:rPr>
                <w:sz w:val="1"/>
                <w:szCs w:val="1"/>
                <w:color w:val="auto"/>
              </w:rPr>
            </w:pPr>
          </w:p>
        </w:tc>
      </w:tr>
      <w:tr>
        <w:trPr>
          <w:trHeight w:val="123"/>
        </w:trPr>
        <w:tc>
          <w:tcPr>
            <w:tcW w:w="280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0"/>
                <w:szCs w:val="10"/>
                <w:color w:val="auto"/>
              </w:rPr>
              <w:t>Chief Human Resources Officer</w:t>
            </w:r>
          </w:p>
        </w:tc>
        <w:tc>
          <w:tcPr>
            <w:tcW w:w="100" w:type="dxa"/>
            <w:vAlign w:val="bottom"/>
            <w:shd w:val="clear" w:color="auto" w:fill="CCFFEE"/>
          </w:tcPr>
          <w:p>
            <w:pPr>
              <w:spacing w:after="0"/>
              <w:rPr>
                <w:sz w:val="10"/>
                <w:szCs w:val="10"/>
                <w:color w:val="auto"/>
              </w:rPr>
            </w:pPr>
          </w:p>
        </w:tc>
        <w:tc>
          <w:tcPr>
            <w:tcW w:w="36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52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66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118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60" w:type="dxa"/>
            <w:vAlign w:val="bottom"/>
            <w:shd w:val="clear" w:color="auto" w:fill="CCFFEE"/>
          </w:tcPr>
          <w:p>
            <w:pPr>
              <w:spacing w:after="0"/>
              <w:rPr>
                <w:sz w:val="10"/>
                <w:szCs w:val="10"/>
                <w:color w:val="auto"/>
              </w:rPr>
            </w:pPr>
          </w:p>
        </w:tc>
        <w:tc>
          <w:tcPr>
            <w:tcW w:w="320" w:type="dxa"/>
            <w:vAlign w:val="bottom"/>
            <w:shd w:val="clear" w:color="auto" w:fill="CCFFEE"/>
          </w:tcPr>
          <w:p>
            <w:pPr>
              <w:spacing w:after="0"/>
              <w:rPr>
                <w:sz w:val="10"/>
                <w:szCs w:val="10"/>
                <w:color w:val="auto"/>
              </w:rPr>
            </w:pPr>
          </w:p>
        </w:tc>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560" w:type="dxa"/>
            <w:vAlign w:val="bottom"/>
            <w:shd w:val="clear" w:color="auto" w:fill="CCFFE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240" w:type="dxa"/>
            <w:vAlign w:val="bottom"/>
            <w:gridSpan w:val="2"/>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3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spacing w:after="0"/>
              <w:rPr>
                <w:sz w:val="7"/>
                <w:szCs w:val="7"/>
                <w:color w:val="auto"/>
              </w:rPr>
            </w:pP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spacing w:after="0"/>
              <w:rPr>
                <w:sz w:val="7"/>
                <w:szCs w:val="7"/>
                <w:color w:val="auto"/>
              </w:rPr>
            </w:pPr>
          </w:p>
        </w:tc>
        <w:tc>
          <w:tcPr>
            <w:tcW w:w="320" w:type="dxa"/>
            <w:vAlign w:val="bottom"/>
            <w:shd w:val="clear" w:color="auto" w:fill="CCFFEE"/>
          </w:tcPr>
          <w:p>
            <w:pPr>
              <w:spacing w:after="0"/>
              <w:rPr>
                <w:sz w:val="7"/>
                <w:szCs w:val="7"/>
                <w:color w:val="auto"/>
              </w:rPr>
            </w:pPr>
          </w:p>
        </w:tc>
        <w:tc>
          <w:tcPr>
            <w:tcW w:w="94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800" w:type="dxa"/>
            <w:vAlign w:val="bottom"/>
            <w:gridSpan w:val="3"/>
          </w:tcPr>
          <w:p>
            <w:pPr>
              <w:spacing w:after="0" w:line="85" w:lineRule="exact"/>
              <w:rPr>
                <w:sz w:val="20"/>
                <w:szCs w:val="20"/>
                <w:color w:val="auto"/>
              </w:rPr>
            </w:pPr>
            <w:r>
              <w:rPr>
                <w:rFonts w:ascii="Times New Roman" w:cs="Times New Roman" w:eastAsia="Times New Roman" w:hAnsi="Times New Roman"/>
                <w:sz w:val="8"/>
                <w:szCs w:val="8"/>
                <w:color w:val="auto"/>
              </w:rPr>
              <w:t>Robert Wedin</w:t>
            </w:r>
          </w:p>
        </w:tc>
        <w:tc>
          <w:tcPr>
            <w:tcW w:w="460" w:type="dxa"/>
            <w:vAlign w:val="bottom"/>
            <w:gridSpan w:val="2"/>
          </w:tcPr>
          <w:p>
            <w:pPr>
              <w:ind w:left="180"/>
              <w:spacing w:after="0" w:line="85"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tcPr>
          <w:p>
            <w:pPr>
              <w:spacing w:after="0"/>
              <w:rPr>
                <w:sz w:val="7"/>
                <w:szCs w:val="7"/>
                <w:color w:val="auto"/>
              </w:rPr>
            </w:pPr>
          </w:p>
        </w:tc>
        <w:tc>
          <w:tcPr>
            <w:tcW w:w="52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430,000</w:t>
            </w:r>
          </w:p>
        </w:tc>
        <w:tc>
          <w:tcPr>
            <w:tcW w:w="140" w:type="dxa"/>
            <w:vAlign w:val="bottom"/>
          </w:tcPr>
          <w:p>
            <w:pPr>
              <w:spacing w:after="0"/>
              <w:rPr>
                <w:sz w:val="7"/>
                <w:szCs w:val="7"/>
                <w:color w:val="auto"/>
              </w:rPr>
            </w:pPr>
          </w:p>
        </w:tc>
        <w:tc>
          <w:tcPr>
            <w:tcW w:w="800" w:type="dxa"/>
            <w:vAlign w:val="bottom"/>
            <w:gridSpan w:val="2"/>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77,400</w:t>
            </w:r>
            <w:r>
              <w:rPr>
                <w:rFonts w:ascii="Times New Roman" w:cs="Times New Roman" w:eastAsia="Times New Roman" w:hAnsi="Times New Roman"/>
                <w:sz w:val="6"/>
                <w:szCs w:val="6"/>
                <w:color w:val="auto"/>
              </w:rPr>
              <w:t>(1)</w:t>
            </w:r>
          </w:p>
        </w:tc>
        <w:tc>
          <w:tcPr>
            <w:tcW w:w="11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9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7"/>
                <w:szCs w:val="7"/>
                <w:color w:val="auto"/>
              </w:rPr>
            </w:pPr>
          </w:p>
        </w:tc>
        <w:tc>
          <w:tcPr>
            <w:tcW w:w="104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8"/>
                <w:szCs w:val="8"/>
                <w:color w:val="auto"/>
              </w:rPr>
              <w:t>27,577</w:t>
            </w:r>
            <w:r>
              <w:rPr>
                <w:rFonts w:ascii="Times New Roman" w:cs="Times New Roman" w:eastAsia="Times New Roman" w:hAnsi="Times New Roman"/>
                <w:sz w:val="6"/>
                <w:szCs w:val="6"/>
                <w:color w:val="auto"/>
              </w:rPr>
              <w:t>(6)</w:t>
            </w:r>
          </w:p>
        </w:tc>
        <w:tc>
          <w:tcPr>
            <w:tcW w:w="5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534,977</w:t>
            </w:r>
          </w:p>
        </w:tc>
        <w:tc>
          <w:tcPr>
            <w:tcW w:w="0" w:type="dxa"/>
            <w:vAlign w:val="bottom"/>
          </w:tcPr>
          <w:p>
            <w:pPr>
              <w:spacing w:after="0"/>
              <w:rPr>
                <w:sz w:val="1"/>
                <w:szCs w:val="1"/>
                <w:color w:val="auto"/>
              </w:rPr>
            </w:pPr>
          </w:p>
        </w:tc>
      </w:tr>
      <w:tr>
        <w:trPr>
          <w:trHeight w:val="99"/>
        </w:trPr>
        <w:tc>
          <w:tcPr>
            <w:tcW w:w="28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Former Executive Vice President, Fresh Sales</w:t>
            </w:r>
          </w:p>
        </w:tc>
        <w:tc>
          <w:tcPr>
            <w:tcW w:w="46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2021</w:t>
            </w:r>
          </w:p>
        </w:tc>
        <w:tc>
          <w:tcPr>
            <w:tcW w:w="14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430,000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65,000</w:t>
            </w:r>
          </w:p>
        </w:tc>
        <w:tc>
          <w:tcPr>
            <w:tcW w:w="140" w:type="dxa"/>
            <w:vAlign w:val="bottom"/>
          </w:tcPr>
          <w:p>
            <w:pPr>
              <w:spacing w:after="0"/>
              <w:rPr>
                <w:sz w:val="8"/>
                <w:szCs w:val="8"/>
                <w:color w:val="auto"/>
              </w:rPr>
            </w:pPr>
          </w:p>
        </w:tc>
        <w:tc>
          <w:tcPr>
            <w:tcW w:w="1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8"/>
                <w:szCs w:val="8"/>
                <w:color w:val="auto"/>
              </w:rPr>
            </w:pPr>
          </w:p>
        </w:tc>
        <w:tc>
          <w:tcPr>
            <w:tcW w:w="9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28,680</w:t>
            </w:r>
          </w:p>
        </w:tc>
        <w:tc>
          <w:tcPr>
            <w:tcW w:w="1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523,680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2020</w:t>
            </w:r>
          </w:p>
        </w:tc>
        <w:tc>
          <w:tcPr>
            <w:tcW w:w="1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394,890</w:t>
            </w:r>
          </w:p>
        </w:tc>
        <w:tc>
          <w:tcPr>
            <w:tcW w:w="14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1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129,007</w:t>
            </w:r>
          </w:p>
        </w:tc>
        <w:tc>
          <w:tcPr>
            <w:tcW w:w="60" w:type="dxa"/>
            <w:vAlign w:val="bottom"/>
          </w:tcPr>
          <w:p>
            <w:pPr>
              <w:spacing w:after="0"/>
              <w:rPr>
                <w:sz w:val="9"/>
                <w:szCs w:val="9"/>
                <w:color w:val="auto"/>
              </w:rPr>
            </w:pPr>
          </w:p>
        </w:tc>
        <w:tc>
          <w:tcPr>
            <w:tcW w:w="9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9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33,043</w:t>
            </w:r>
          </w:p>
        </w:tc>
        <w:tc>
          <w:tcPr>
            <w:tcW w:w="10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556,940</w:t>
            </w:r>
          </w:p>
        </w:tc>
        <w:tc>
          <w:tcPr>
            <w:tcW w:w="0" w:type="dxa"/>
            <w:vAlign w:val="bottom"/>
          </w:tcPr>
          <w:p>
            <w:pPr>
              <w:spacing w:after="0"/>
              <w:rPr>
                <w:sz w:val="1"/>
                <w:szCs w:val="1"/>
                <w:color w:val="auto"/>
              </w:rPr>
            </w:pPr>
          </w:p>
        </w:tc>
      </w:tr>
      <w:tr>
        <w:trPr>
          <w:trHeight w:val="85"/>
        </w:trPr>
        <w:tc>
          <w:tcPr>
            <w:tcW w:w="2800" w:type="dxa"/>
            <w:vAlign w:val="bottom"/>
            <w:gridSpan w:val="3"/>
            <w:shd w:val="clear" w:color="auto" w:fill="CCFFEE"/>
          </w:tcPr>
          <w:p>
            <w:pPr>
              <w:spacing w:after="0" w:line="85" w:lineRule="exact"/>
              <w:rPr>
                <w:sz w:val="20"/>
                <w:szCs w:val="20"/>
                <w:color w:val="auto"/>
              </w:rPr>
            </w:pPr>
            <w:r>
              <w:rPr>
                <w:rFonts w:ascii="Times New Roman" w:cs="Times New Roman" w:eastAsia="Times New Roman" w:hAnsi="Times New Roman"/>
                <w:sz w:val="8"/>
                <w:szCs w:val="8"/>
                <w:color w:val="auto"/>
              </w:rPr>
              <w:t>Ronald Araiza</w:t>
            </w:r>
          </w:p>
        </w:tc>
        <w:tc>
          <w:tcPr>
            <w:tcW w:w="460" w:type="dxa"/>
            <w:vAlign w:val="bottom"/>
            <w:gridSpan w:val="2"/>
            <w:shd w:val="clear" w:color="auto" w:fill="CCFFEE"/>
          </w:tcPr>
          <w:p>
            <w:pPr>
              <w:ind w:left="180"/>
              <w:spacing w:after="0" w:line="85"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430,000</w:t>
            </w: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55,040</w:t>
            </w: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172,000</w:t>
            </w: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FFEE"/>
          </w:tcPr>
          <w:p>
            <w:pPr>
              <w:spacing w:after="0"/>
              <w:rPr>
                <w:sz w:val="7"/>
                <w:szCs w:val="7"/>
                <w:color w:val="auto"/>
              </w:rPr>
            </w:pPr>
          </w:p>
        </w:tc>
        <w:tc>
          <w:tcPr>
            <w:tcW w:w="1040" w:type="dxa"/>
            <w:vAlign w:val="bottom"/>
            <w:gridSpan w:val="2"/>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24,253</w:t>
            </w:r>
            <w:r>
              <w:rPr>
                <w:rFonts w:ascii="Times New Roman" w:cs="Times New Roman" w:eastAsia="Times New Roman" w:hAnsi="Times New Roman"/>
                <w:sz w:val="6"/>
                <w:szCs w:val="6"/>
                <w:color w:val="auto"/>
              </w:rPr>
              <w:t>(7)</w:t>
            </w:r>
          </w:p>
        </w:tc>
        <w:tc>
          <w:tcPr>
            <w:tcW w:w="5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681,293</w:t>
            </w:r>
          </w:p>
        </w:tc>
        <w:tc>
          <w:tcPr>
            <w:tcW w:w="0" w:type="dxa"/>
            <w:vAlign w:val="bottom"/>
          </w:tcPr>
          <w:p>
            <w:pPr>
              <w:spacing w:after="0"/>
              <w:rPr>
                <w:sz w:val="1"/>
                <w:szCs w:val="1"/>
                <w:color w:val="auto"/>
              </w:rPr>
            </w:pPr>
          </w:p>
        </w:tc>
      </w:tr>
      <w:tr>
        <w:trPr>
          <w:trHeight w:val="99"/>
        </w:trPr>
        <w:tc>
          <w:tcPr>
            <w:tcW w:w="2800" w:type="dxa"/>
            <w:vAlign w:val="bottom"/>
            <w:gridSpan w:val="3"/>
            <w:shd w:val="clear" w:color="auto" w:fill="CCFFEE"/>
          </w:tcPr>
          <w:p>
            <w:pPr>
              <w:spacing w:after="0" w:line="99" w:lineRule="exact"/>
              <w:rPr>
                <w:sz w:val="20"/>
                <w:szCs w:val="20"/>
                <w:color w:val="auto"/>
              </w:rPr>
            </w:pPr>
            <w:r>
              <w:rPr>
                <w:rFonts w:ascii="Times New Roman" w:cs="Times New Roman" w:eastAsia="Times New Roman" w:hAnsi="Times New Roman"/>
                <w:sz w:val="9"/>
                <w:szCs w:val="9"/>
                <w:color w:val="auto"/>
              </w:rPr>
              <w:t>Former Executive Vice President, Foods Sales</w:t>
            </w:r>
          </w:p>
        </w:tc>
        <w:tc>
          <w:tcPr>
            <w:tcW w:w="460" w:type="dxa"/>
            <w:vAlign w:val="bottom"/>
            <w:gridSpan w:val="2"/>
            <w:shd w:val="clear" w:color="auto" w:fill="CCFFEE"/>
          </w:tcPr>
          <w:p>
            <w:pPr>
              <w:ind w:left="180"/>
              <w:spacing w:after="0" w:line="99" w:lineRule="exact"/>
              <w:rPr>
                <w:sz w:val="20"/>
                <w:szCs w:val="20"/>
                <w:color w:val="auto"/>
              </w:rPr>
            </w:pPr>
            <w:r>
              <w:rPr>
                <w:rFonts w:ascii="Times New Roman" w:cs="Times New Roman" w:eastAsia="Times New Roman" w:hAnsi="Times New Roman"/>
                <w:sz w:val="10"/>
                <w:szCs w:val="10"/>
                <w:color w:val="auto"/>
              </w:rPr>
              <w:t>2021</w:t>
            </w:r>
          </w:p>
        </w:tc>
        <w:tc>
          <w:tcPr>
            <w:tcW w:w="140" w:type="dxa"/>
            <w:vAlign w:val="bottom"/>
            <w:shd w:val="clear" w:color="auto" w:fill="CCFFEE"/>
          </w:tcPr>
          <w:p>
            <w:pPr>
              <w:spacing w:after="0"/>
              <w:rPr>
                <w:sz w:val="8"/>
                <w:szCs w:val="8"/>
                <w:color w:val="auto"/>
              </w:rPr>
            </w:pPr>
          </w:p>
        </w:tc>
        <w:tc>
          <w:tcPr>
            <w:tcW w:w="52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402,231</w:t>
            </w:r>
          </w:p>
        </w:tc>
        <w:tc>
          <w:tcPr>
            <w:tcW w:w="140" w:type="dxa"/>
            <w:vAlign w:val="bottom"/>
            <w:shd w:val="clear" w:color="auto" w:fill="CCFFEE"/>
          </w:tcPr>
          <w:p>
            <w:pPr>
              <w:spacing w:after="0"/>
              <w:rPr>
                <w:sz w:val="8"/>
                <w:szCs w:val="8"/>
                <w:color w:val="auto"/>
              </w:rPr>
            </w:pPr>
          </w:p>
        </w:tc>
        <w:tc>
          <w:tcPr>
            <w:tcW w:w="66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FFEE"/>
          </w:tcPr>
          <w:p>
            <w:pPr>
              <w:spacing w:after="0"/>
              <w:rPr>
                <w:sz w:val="8"/>
                <w:szCs w:val="8"/>
                <w:color w:val="auto"/>
              </w:rPr>
            </w:pPr>
          </w:p>
        </w:tc>
        <w:tc>
          <w:tcPr>
            <w:tcW w:w="118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65,000</w:t>
            </w:r>
          </w:p>
        </w:tc>
        <w:tc>
          <w:tcPr>
            <w:tcW w:w="60" w:type="dxa"/>
            <w:vAlign w:val="bottom"/>
            <w:shd w:val="clear" w:color="auto" w:fill="CCFFEE"/>
          </w:tcPr>
          <w:p>
            <w:pPr>
              <w:spacing w:after="0"/>
              <w:rPr>
                <w:sz w:val="8"/>
                <w:szCs w:val="8"/>
                <w:color w:val="auto"/>
              </w:rPr>
            </w:pPr>
          </w:p>
        </w:tc>
        <w:tc>
          <w:tcPr>
            <w:tcW w:w="96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FFEE"/>
          </w:tcPr>
          <w:p>
            <w:pPr>
              <w:spacing w:after="0"/>
              <w:rPr>
                <w:sz w:val="8"/>
                <w:szCs w:val="8"/>
                <w:color w:val="auto"/>
              </w:rPr>
            </w:pPr>
          </w:p>
        </w:tc>
        <w:tc>
          <w:tcPr>
            <w:tcW w:w="94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39,429</w:t>
            </w:r>
          </w:p>
        </w:tc>
        <w:tc>
          <w:tcPr>
            <w:tcW w:w="100" w:type="dxa"/>
            <w:vAlign w:val="bottom"/>
            <w:shd w:val="clear" w:color="auto" w:fill="CCFFEE"/>
          </w:tcPr>
          <w:p>
            <w:pPr>
              <w:spacing w:after="0"/>
              <w:rPr>
                <w:sz w:val="8"/>
                <w:szCs w:val="8"/>
                <w:color w:val="auto"/>
              </w:rPr>
            </w:pPr>
          </w:p>
        </w:tc>
        <w:tc>
          <w:tcPr>
            <w:tcW w:w="56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506,660</w:t>
            </w:r>
          </w:p>
        </w:tc>
        <w:tc>
          <w:tcPr>
            <w:tcW w:w="0" w:type="dxa"/>
            <w:vAlign w:val="bottom"/>
          </w:tcPr>
          <w:p>
            <w:pPr>
              <w:spacing w:after="0"/>
              <w:rPr>
                <w:sz w:val="1"/>
                <w:szCs w:val="1"/>
                <w:color w:val="auto"/>
              </w:rPr>
            </w:pPr>
          </w:p>
        </w:tc>
      </w:tr>
      <w:tr>
        <w:trPr>
          <w:trHeight w:val="113"/>
        </w:trPr>
        <w:tc>
          <w:tcPr>
            <w:tcW w:w="20" w:type="dxa"/>
            <w:vAlign w:val="bottom"/>
            <w:shd w:val="clear" w:color="auto" w:fill="CCFFEE"/>
          </w:tcPr>
          <w:p>
            <w:pPr>
              <w:spacing w:after="0"/>
              <w:rPr>
                <w:sz w:val="9"/>
                <w:szCs w:val="9"/>
                <w:color w:val="auto"/>
              </w:rPr>
            </w:pPr>
          </w:p>
        </w:tc>
        <w:tc>
          <w:tcPr>
            <w:tcW w:w="2220" w:type="dxa"/>
            <w:vAlign w:val="bottom"/>
            <w:shd w:val="clear" w:color="auto" w:fill="CCFFEE"/>
          </w:tcPr>
          <w:p>
            <w:pPr>
              <w:spacing w:after="0"/>
              <w:rPr>
                <w:sz w:val="9"/>
                <w:szCs w:val="9"/>
                <w:color w:val="auto"/>
              </w:rPr>
            </w:pPr>
          </w:p>
        </w:tc>
        <w:tc>
          <w:tcPr>
            <w:tcW w:w="560" w:type="dxa"/>
            <w:vAlign w:val="bottom"/>
            <w:shd w:val="clear" w:color="auto" w:fill="CCFFEE"/>
          </w:tcPr>
          <w:p>
            <w:pPr>
              <w:spacing w:after="0"/>
              <w:rPr>
                <w:sz w:val="9"/>
                <w:szCs w:val="9"/>
                <w:color w:val="auto"/>
              </w:rPr>
            </w:pPr>
          </w:p>
        </w:tc>
        <w:tc>
          <w:tcPr>
            <w:tcW w:w="460" w:type="dxa"/>
            <w:vAlign w:val="bottom"/>
            <w:gridSpan w:val="2"/>
            <w:shd w:val="clear" w:color="auto" w:fill="CCFFEE"/>
          </w:tcPr>
          <w:p>
            <w:pPr>
              <w:ind w:left="180"/>
              <w:spacing w:after="0" w:line="114" w:lineRule="exact"/>
              <w:rPr>
                <w:sz w:val="20"/>
                <w:szCs w:val="20"/>
                <w:color w:val="auto"/>
              </w:rPr>
            </w:pPr>
            <w:r>
              <w:rPr>
                <w:rFonts w:ascii="Times New Roman" w:cs="Times New Roman" w:eastAsia="Times New Roman" w:hAnsi="Times New Roman"/>
                <w:sz w:val="10"/>
                <w:szCs w:val="10"/>
                <w:color w:val="auto"/>
              </w:rPr>
              <w:t>2020</w:t>
            </w:r>
          </w:p>
        </w:tc>
        <w:tc>
          <w:tcPr>
            <w:tcW w:w="140" w:type="dxa"/>
            <w:vAlign w:val="bottom"/>
            <w:shd w:val="clear" w:color="auto" w:fill="CCFFEE"/>
          </w:tcPr>
          <w:p>
            <w:pPr>
              <w:spacing w:after="0"/>
              <w:rPr>
                <w:sz w:val="9"/>
                <w:szCs w:val="9"/>
                <w:color w:val="auto"/>
              </w:rPr>
            </w:pPr>
          </w:p>
        </w:tc>
        <w:tc>
          <w:tcPr>
            <w:tcW w:w="520" w:type="dxa"/>
            <w:vAlign w:val="bottom"/>
            <w:shd w:val="clear" w:color="auto" w:fill="CCFFEE"/>
          </w:tcPr>
          <w:p>
            <w:pPr>
              <w:jc w:val="right"/>
              <w:spacing w:after="0" w:line="114" w:lineRule="exact"/>
              <w:rPr>
                <w:sz w:val="20"/>
                <w:szCs w:val="20"/>
                <w:color w:val="auto"/>
              </w:rPr>
            </w:pPr>
            <w:r>
              <w:rPr>
                <w:rFonts w:ascii="Times New Roman" w:cs="Times New Roman" w:eastAsia="Times New Roman" w:hAnsi="Times New Roman"/>
                <w:sz w:val="10"/>
                <w:szCs w:val="10"/>
                <w:color w:val="auto"/>
              </w:rPr>
              <w:t>386,671</w:t>
            </w:r>
          </w:p>
        </w:tc>
        <w:tc>
          <w:tcPr>
            <w:tcW w:w="140" w:type="dxa"/>
            <w:vAlign w:val="bottom"/>
            <w:shd w:val="clear" w:color="auto" w:fill="CCFFEE"/>
          </w:tcPr>
          <w:p>
            <w:pPr>
              <w:spacing w:after="0"/>
              <w:rPr>
                <w:sz w:val="9"/>
                <w:szCs w:val="9"/>
                <w:color w:val="auto"/>
              </w:rPr>
            </w:pPr>
          </w:p>
        </w:tc>
        <w:tc>
          <w:tcPr>
            <w:tcW w:w="660" w:type="dxa"/>
            <w:vAlign w:val="bottom"/>
            <w:shd w:val="clear" w:color="auto" w:fill="CCFFEE"/>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FFEE"/>
          </w:tcPr>
          <w:p>
            <w:pPr>
              <w:spacing w:after="0"/>
              <w:rPr>
                <w:sz w:val="9"/>
                <w:szCs w:val="9"/>
                <w:color w:val="auto"/>
              </w:rPr>
            </w:pPr>
          </w:p>
        </w:tc>
        <w:tc>
          <w:tcPr>
            <w:tcW w:w="1180" w:type="dxa"/>
            <w:vAlign w:val="bottom"/>
            <w:shd w:val="clear" w:color="auto" w:fill="CCFFEE"/>
          </w:tcPr>
          <w:p>
            <w:pPr>
              <w:jc w:val="right"/>
              <w:spacing w:after="0" w:line="114" w:lineRule="exact"/>
              <w:rPr>
                <w:sz w:val="20"/>
                <w:szCs w:val="20"/>
                <w:color w:val="auto"/>
              </w:rPr>
            </w:pPr>
            <w:r>
              <w:rPr>
                <w:rFonts w:ascii="Times New Roman" w:cs="Times New Roman" w:eastAsia="Times New Roman" w:hAnsi="Times New Roman"/>
                <w:sz w:val="10"/>
                <w:szCs w:val="10"/>
                <w:color w:val="auto"/>
              </w:rPr>
              <w:t>116,976</w:t>
            </w:r>
          </w:p>
        </w:tc>
        <w:tc>
          <w:tcPr>
            <w:tcW w:w="60" w:type="dxa"/>
            <w:vAlign w:val="bottom"/>
            <w:shd w:val="clear" w:color="auto" w:fill="CCFFEE"/>
          </w:tcPr>
          <w:p>
            <w:pPr>
              <w:spacing w:after="0"/>
              <w:rPr>
                <w:sz w:val="9"/>
                <w:szCs w:val="9"/>
                <w:color w:val="auto"/>
              </w:rPr>
            </w:pPr>
          </w:p>
        </w:tc>
        <w:tc>
          <w:tcPr>
            <w:tcW w:w="960" w:type="dxa"/>
            <w:vAlign w:val="bottom"/>
            <w:shd w:val="clear" w:color="auto" w:fill="CCFFEE"/>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FFEE"/>
          </w:tcPr>
          <w:p>
            <w:pPr>
              <w:spacing w:after="0"/>
              <w:rPr>
                <w:sz w:val="9"/>
                <w:szCs w:val="9"/>
                <w:color w:val="auto"/>
              </w:rPr>
            </w:pPr>
          </w:p>
        </w:tc>
        <w:tc>
          <w:tcPr>
            <w:tcW w:w="940" w:type="dxa"/>
            <w:vAlign w:val="bottom"/>
            <w:shd w:val="clear" w:color="auto" w:fill="CCFFEE"/>
          </w:tcPr>
          <w:p>
            <w:pPr>
              <w:jc w:val="right"/>
              <w:spacing w:after="0" w:line="114" w:lineRule="exact"/>
              <w:rPr>
                <w:sz w:val="20"/>
                <w:szCs w:val="20"/>
                <w:color w:val="auto"/>
              </w:rPr>
            </w:pPr>
            <w:r>
              <w:rPr>
                <w:rFonts w:ascii="Times New Roman" w:cs="Times New Roman" w:eastAsia="Times New Roman" w:hAnsi="Times New Roman"/>
                <w:sz w:val="10"/>
                <w:szCs w:val="10"/>
                <w:color w:val="auto"/>
              </w:rPr>
              <w:t>42,678</w:t>
            </w:r>
          </w:p>
        </w:tc>
        <w:tc>
          <w:tcPr>
            <w:tcW w:w="100" w:type="dxa"/>
            <w:vAlign w:val="bottom"/>
            <w:shd w:val="clear" w:color="auto" w:fill="CCFFEE"/>
          </w:tcPr>
          <w:p>
            <w:pPr>
              <w:spacing w:after="0"/>
              <w:rPr>
                <w:sz w:val="9"/>
                <w:szCs w:val="9"/>
                <w:color w:val="auto"/>
              </w:rPr>
            </w:pPr>
          </w:p>
        </w:tc>
        <w:tc>
          <w:tcPr>
            <w:tcW w:w="560" w:type="dxa"/>
            <w:vAlign w:val="bottom"/>
            <w:shd w:val="clear" w:color="auto" w:fill="CCFFEE"/>
          </w:tcPr>
          <w:p>
            <w:pPr>
              <w:jc w:val="right"/>
              <w:spacing w:after="0" w:line="114" w:lineRule="exact"/>
              <w:rPr>
                <w:sz w:val="20"/>
                <w:szCs w:val="20"/>
                <w:color w:val="auto"/>
              </w:rPr>
            </w:pPr>
            <w:r>
              <w:rPr>
                <w:rFonts w:ascii="Times New Roman" w:cs="Times New Roman" w:eastAsia="Times New Roman" w:hAnsi="Times New Roman"/>
                <w:sz w:val="10"/>
                <w:szCs w:val="10"/>
                <w:color w:val="auto"/>
              </w:rPr>
              <w:t>546,325</w:t>
            </w:r>
          </w:p>
        </w:tc>
        <w:tc>
          <w:tcPr>
            <w:tcW w:w="0" w:type="dxa"/>
            <w:vAlign w:val="bottom"/>
          </w:tcPr>
          <w:p>
            <w:pPr>
              <w:spacing w:after="0"/>
              <w:rPr>
                <w:sz w:val="1"/>
                <w:szCs w:val="1"/>
                <w:color w:val="auto"/>
              </w:rPr>
            </w:pPr>
          </w:p>
        </w:tc>
      </w:tr>
      <w:tr>
        <w:trPr>
          <w:trHeight w:val="123"/>
        </w:trPr>
        <w:tc>
          <w:tcPr>
            <w:tcW w:w="2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Danny Dumas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2022</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119,711</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27,667</w:t>
            </w:r>
          </w:p>
        </w:tc>
        <w:tc>
          <w:tcPr>
            <w:tcW w:w="14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150,000</w:t>
            </w:r>
          </w:p>
        </w:tc>
        <w:tc>
          <w:tcPr>
            <w:tcW w:w="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6,496</w:t>
            </w:r>
            <w:r>
              <w:rPr>
                <w:rFonts w:ascii="Times New Roman" w:cs="Times New Roman" w:eastAsia="Times New Roman" w:hAnsi="Times New Roman"/>
                <w:sz w:val="7"/>
                <w:szCs w:val="7"/>
                <w:color w:val="auto"/>
              </w:rPr>
              <w:t>(8)</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303,874</w:t>
            </w:r>
          </w:p>
        </w:tc>
        <w:tc>
          <w:tcPr>
            <w:tcW w:w="0" w:type="dxa"/>
            <w:vAlign w:val="bottom"/>
          </w:tcPr>
          <w:p>
            <w:pPr>
              <w:spacing w:after="0"/>
              <w:rPr>
                <w:sz w:val="1"/>
                <w:szCs w:val="1"/>
                <w:color w:val="auto"/>
              </w:rPr>
            </w:pPr>
          </w:p>
        </w:tc>
      </w:tr>
      <w:tr>
        <w:trPr>
          <w:trHeight w:val="165"/>
        </w:trPr>
        <w:tc>
          <w:tcPr>
            <w:tcW w:w="2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Senior Vice President and General Manager of Calavo Grown</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800" w:type="dxa"/>
            <w:vAlign w:val="bottom"/>
            <w:gridSpan w:val="3"/>
            <w:shd w:val="clear" w:color="auto" w:fill="CCFFEE"/>
          </w:tcPr>
          <w:p>
            <w:pPr>
              <w:spacing w:after="0" w:line="85" w:lineRule="exact"/>
              <w:rPr>
                <w:sz w:val="20"/>
                <w:szCs w:val="20"/>
                <w:color w:val="auto"/>
              </w:rPr>
            </w:pPr>
            <w:r>
              <w:rPr>
                <w:rFonts w:ascii="Times New Roman" w:cs="Times New Roman" w:eastAsia="Times New Roman" w:hAnsi="Times New Roman"/>
                <w:sz w:val="8"/>
                <w:szCs w:val="8"/>
                <w:color w:val="auto"/>
              </w:rPr>
              <w:t>Helen Kurtz</w:t>
            </w:r>
          </w:p>
        </w:tc>
        <w:tc>
          <w:tcPr>
            <w:tcW w:w="460" w:type="dxa"/>
            <w:vAlign w:val="bottom"/>
            <w:gridSpan w:val="2"/>
            <w:shd w:val="clear" w:color="auto" w:fill="CCFFEE"/>
          </w:tcPr>
          <w:p>
            <w:pPr>
              <w:ind w:left="180"/>
              <w:spacing w:after="0" w:line="85" w:lineRule="exact"/>
              <w:rPr>
                <w:sz w:val="20"/>
                <w:szCs w:val="20"/>
                <w:color w:val="auto"/>
              </w:rPr>
            </w:pPr>
            <w:r>
              <w:rPr>
                <w:rFonts w:ascii="Times New Roman" w:cs="Times New Roman" w:eastAsia="Times New Roman" w:hAnsi="Times New Roman"/>
                <w:sz w:val="8"/>
                <w:szCs w:val="8"/>
                <w:color w:val="auto"/>
              </w:rPr>
              <w:t>2022</w:t>
            </w: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81,039</w:t>
            </w: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15,000</w:t>
            </w: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300,000</w:t>
            </w: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FFEE"/>
          </w:tcPr>
          <w:p>
            <w:pPr>
              <w:spacing w:after="0"/>
              <w:rPr>
                <w:sz w:val="7"/>
                <w:szCs w:val="7"/>
                <w:color w:val="auto"/>
              </w:rPr>
            </w:pPr>
          </w:p>
        </w:tc>
        <w:tc>
          <w:tcPr>
            <w:tcW w:w="1040" w:type="dxa"/>
            <w:vAlign w:val="bottom"/>
            <w:gridSpan w:val="2"/>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4,166</w:t>
            </w:r>
            <w:r>
              <w:rPr>
                <w:rFonts w:ascii="Times New Roman" w:cs="Times New Roman" w:eastAsia="Times New Roman" w:hAnsi="Times New Roman"/>
                <w:sz w:val="6"/>
                <w:szCs w:val="6"/>
                <w:color w:val="auto"/>
              </w:rPr>
              <w:t>(9)</w:t>
            </w:r>
          </w:p>
        </w:tc>
        <w:tc>
          <w:tcPr>
            <w:tcW w:w="560" w:type="dxa"/>
            <w:vAlign w:val="bottom"/>
            <w:shd w:val="clear" w:color="auto" w:fill="CCFFEE"/>
          </w:tcPr>
          <w:p>
            <w:pPr>
              <w:jc w:val="right"/>
              <w:spacing w:after="0" w:line="85" w:lineRule="exact"/>
              <w:rPr>
                <w:sz w:val="20"/>
                <w:szCs w:val="20"/>
                <w:color w:val="auto"/>
              </w:rPr>
            </w:pPr>
            <w:r>
              <w:rPr>
                <w:rFonts w:ascii="Times New Roman" w:cs="Times New Roman" w:eastAsia="Times New Roman" w:hAnsi="Times New Roman"/>
                <w:sz w:val="8"/>
                <w:szCs w:val="8"/>
                <w:color w:val="auto"/>
              </w:rPr>
              <w:t>400,205</w:t>
            </w:r>
          </w:p>
        </w:tc>
        <w:tc>
          <w:tcPr>
            <w:tcW w:w="0" w:type="dxa"/>
            <w:vAlign w:val="bottom"/>
          </w:tcPr>
          <w:p>
            <w:pPr>
              <w:spacing w:after="0"/>
              <w:rPr>
                <w:sz w:val="1"/>
                <w:szCs w:val="1"/>
                <w:color w:val="auto"/>
              </w:rPr>
            </w:pPr>
          </w:p>
        </w:tc>
      </w:tr>
      <w:tr>
        <w:trPr>
          <w:trHeight w:val="123"/>
        </w:trPr>
        <w:tc>
          <w:tcPr>
            <w:tcW w:w="2800" w:type="dxa"/>
            <w:vAlign w:val="bottom"/>
            <w:gridSpan w:val="3"/>
            <w:shd w:val="clear" w:color="auto" w:fill="CCFFEE"/>
          </w:tcPr>
          <w:p>
            <w:pPr>
              <w:spacing w:after="0"/>
              <w:rPr>
                <w:sz w:val="20"/>
                <w:szCs w:val="20"/>
                <w:color w:val="auto"/>
              </w:rPr>
            </w:pPr>
            <w:r>
              <w:rPr>
                <w:rFonts w:ascii="Times New Roman" w:cs="Times New Roman" w:eastAsia="Times New Roman" w:hAnsi="Times New Roman"/>
                <w:sz w:val="10"/>
                <w:szCs w:val="10"/>
                <w:color w:val="auto"/>
              </w:rPr>
              <w:t>Senior Vice President and General Manager of Calavo Prepared</w:t>
            </w:r>
          </w:p>
        </w:tc>
        <w:tc>
          <w:tcPr>
            <w:tcW w:w="100" w:type="dxa"/>
            <w:vAlign w:val="bottom"/>
            <w:shd w:val="clear" w:color="auto" w:fill="CCFFEE"/>
          </w:tcPr>
          <w:p>
            <w:pPr>
              <w:spacing w:after="0"/>
              <w:rPr>
                <w:sz w:val="10"/>
                <w:szCs w:val="10"/>
                <w:color w:val="auto"/>
              </w:rPr>
            </w:pPr>
          </w:p>
        </w:tc>
        <w:tc>
          <w:tcPr>
            <w:tcW w:w="36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52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66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1180" w:type="dxa"/>
            <w:vAlign w:val="bottom"/>
            <w:shd w:val="clear" w:color="auto" w:fill="CCFFEE"/>
          </w:tcPr>
          <w:p>
            <w:pPr>
              <w:spacing w:after="0"/>
              <w:rPr>
                <w:sz w:val="10"/>
                <w:szCs w:val="10"/>
                <w:color w:val="auto"/>
              </w:rPr>
            </w:pPr>
          </w:p>
        </w:tc>
        <w:tc>
          <w:tcPr>
            <w:tcW w:w="60" w:type="dxa"/>
            <w:vAlign w:val="bottom"/>
            <w:shd w:val="clear" w:color="auto" w:fill="CCFFEE"/>
          </w:tcPr>
          <w:p>
            <w:pPr>
              <w:spacing w:after="0"/>
              <w:rPr>
                <w:sz w:val="10"/>
                <w:szCs w:val="10"/>
                <w:color w:val="auto"/>
              </w:rPr>
            </w:pPr>
          </w:p>
        </w:tc>
        <w:tc>
          <w:tcPr>
            <w:tcW w:w="960" w:type="dxa"/>
            <w:vAlign w:val="bottom"/>
            <w:shd w:val="clear" w:color="auto" w:fill="CCFFEE"/>
          </w:tcPr>
          <w:p>
            <w:pPr>
              <w:spacing w:after="0"/>
              <w:rPr>
                <w:sz w:val="10"/>
                <w:szCs w:val="10"/>
                <w:color w:val="auto"/>
              </w:rPr>
            </w:pPr>
          </w:p>
        </w:tc>
        <w:tc>
          <w:tcPr>
            <w:tcW w:w="320" w:type="dxa"/>
            <w:vAlign w:val="bottom"/>
            <w:shd w:val="clear" w:color="auto" w:fill="CCFFEE"/>
          </w:tcPr>
          <w:p>
            <w:pPr>
              <w:spacing w:after="0"/>
              <w:rPr>
                <w:sz w:val="10"/>
                <w:szCs w:val="10"/>
                <w:color w:val="auto"/>
              </w:rPr>
            </w:pPr>
          </w:p>
        </w:tc>
        <w:tc>
          <w:tcPr>
            <w:tcW w:w="9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560" w:type="dxa"/>
            <w:vAlign w:val="bottom"/>
            <w:shd w:val="clear" w:color="auto" w:fill="CCFFE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shd w:val="clear" w:color="auto" w:fill="CCFFEE"/>
          </w:tcPr>
          <w:p>
            <w:pPr>
              <w:spacing w:after="0"/>
              <w:rPr>
                <w:sz w:val="7"/>
                <w:szCs w:val="7"/>
                <w:color w:val="auto"/>
              </w:rPr>
            </w:pPr>
          </w:p>
        </w:tc>
        <w:tc>
          <w:tcPr>
            <w:tcW w:w="2220" w:type="dxa"/>
            <w:vAlign w:val="bottom"/>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3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52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660" w:type="dxa"/>
            <w:vAlign w:val="bottom"/>
            <w:shd w:val="clear" w:color="auto" w:fill="CCFFEE"/>
          </w:tcPr>
          <w:p>
            <w:pPr>
              <w:spacing w:after="0"/>
              <w:rPr>
                <w:sz w:val="7"/>
                <w:szCs w:val="7"/>
                <w:color w:val="auto"/>
              </w:rPr>
            </w:pPr>
          </w:p>
        </w:tc>
        <w:tc>
          <w:tcPr>
            <w:tcW w:w="140" w:type="dxa"/>
            <w:vAlign w:val="bottom"/>
            <w:shd w:val="clear" w:color="auto" w:fill="CCFFEE"/>
          </w:tcPr>
          <w:p>
            <w:pPr>
              <w:spacing w:after="0"/>
              <w:rPr>
                <w:sz w:val="7"/>
                <w:szCs w:val="7"/>
                <w:color w:val="auto"/>
              </w:rPr>
            </w:pPr>
          </w:p>
        </w:tc>
        <w:tc>
          <w:tcPr>
            <w:tcW w:w="1180" w:type="dxa"/>
            <w:vAlign w:val="bottom"/>
            <w:shd w:val="clear" w:color="auto" w:fill="CCFFEE"/>
          </w:tcPr>
          <w:p>
            <w:pPr>
              <w:spacing w:after="0"/>
              <w:rPr>
                <w:sz w:val="7"/>
                <w:szCs w:val="7"/>
                <w:color w:val="auto"/>
              </w:rPr>
            </w:pPr>
          </w:p>
        </w:tc>
        <w:tc>
          <w:tcPr>
            <w:tcW w:w="60" w:type="dxa"/>
            <w:vAlign w:val="bottom"/>
            <w:shd w:val="clear" w:color="auto" w:fill="CCFFEE"/>
          </w:tcPr>
          <w:p>
            <w:pPr>
              <w:spacing w:after="0"/>
              <w:rPr>
                <w:sz w:val="7"/>
                <w:szCs w:val="7"/>
                <w:color w:val="auto"/>
              </w:rPr>
            </w:pPr>
          </w:p>
        </w:tc>
        <w:tc>
          <w:tcPr>
            <w:tcW w:w="960" w:type="dxa"/>
            <w:vAlign w:val="bottom"/>
            <w:shd w:val="clear" w:color="auto" w:fill="CCFFEE"/>
          </w:tcPr>
          <w:p>
            <w:pPr>
              <w:spacing w:after="0"/>
              <w:rPr>
                <w:sz w:val="7"/>
                <w:szCs w:val="7"/>
                <w:color w:val="auto"/>
              </w:rPr>
            </w:pPr>
          </w:p>
        </w:tc>
        <w:tc>
          <w:tcPr>
            <w:tcW w:w="320" w:type="dxa"/>
            <w:vAlign w:val="bottom"/>
            <w:shd w:val="clear" w:color="auto" w:fill="CCFFEE"/>
          </w:tcPr>
          <w:p>
            <w:pPr>
              <w:spacing w:after="0"/>
              <w:rPr>
                <w:sz w:val="7"/>
                <w:szCs w:val="7"/>
                <w:color w:val="auto"/>
              </w:rPr>
            </w:pPr>
          </w:p>
        </w:tc>
        <w:tc>
          <w:tcPr>
            <w:tcW w:w="940" w:type="dxa"/>
            <w:vAlign w:val="bottom"/>
            <w:shd w:val="clear" w:color="auto" w:fill="CCFFEE"/>
          </w:tcPr>
          <w:p>
            <w:pPr>
              <w:spacing w:after="0"/>
              <w:rPr>
                <w:sz w:val="7"/>
                <w:szCs w:val="7"/>
                <w:color w:val="auto"/>
              </w:rPr>
            </w:pPr>
          </w:p>
        </w:tc>
        <w:tc>
          <w:tcPr>
            <w:tcW w:w="100" w:type="dxa"/>
            <w:vAlign w:val="bottom"/>
            <w:shd w:val="clear" w:color="auto" w:fill="CCFFEE"/>
          </w:tcPr>
          <w:p>
            <w:pPr>
              <w:spacing w:after="0"/>
              <w:rPr>
                <w:sz w:val="7"/>
                <w:szCs w:val="7"/>
                <w:color w:val="auto"/>
              </w:rPr>
            </w:pPr>
          </w:p>
        </w:tc>
        <w:tc>
          <w:tcPr>
            <w:tcW w:w="560" w:type="dxa"/>
            <w:vAlign w:val="bottom"/>
            <w:shd w:val="clear" w:color="auto" w:fill="CCFFE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60" w:right="219" w:hanging="245"/>
        <w:spacing w:after="0" w:line="220" w:lineRule="auto"/>
        <w:tabs>
          <w:tab w:leader="none" w:pos="2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Reflects amounts paid in stock awards that were issued under the annual performance-based incentive awards for officers discussed above in the Compensation Discussion and Analysis. As also discussed above, Brian Kocher, Shawn Munsell, Danny Dumas and Helen Kurtz were granted stock awards pursuant to the terms provided in their employment agreements.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60" w:right="139" w:hanging="245"/>
        <w:spacing w:after="0" w:line="207"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$5,701 we paid on behalf of Ms. Matute related to health insurance, (ii) $4,199 we paid to Ms. Matute related to a car allowance, (iii) $508 we paid on behalf of Ms. Matute related to life insurance which is a benefit provided to all employees (iv) and $400 we paid to Ms. Matute for allowances paid to all employees.</w:t>
      </w:r>
    </w:p>
    <w:p>
      <w:pPr>
        <w:spacing w:after="0" w:line="62" w:lineRule="exact"/>
        <w:rPr>
          <w:rFonts w:ascii="Times New Roman" w:cs="Times New Roman" w:eastAsia="Times New Roman" w:hAnsi="Times New Roman"/>
          <w:sz w:val="18"/>
          <w:szCs w:val="18"/>
          <w:color w:val="auto"/>
          <w:vertAlign w:val="superscript"/>
        </w:rPr>
      </w:pPr>
    </w:p>
    <w:p>
      <w:pPr>
        <w:ind w:left="260" w:right="7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$9,260 we paid on behalf of Mr. Kocher related to health insurance, (ii) $8,397 we paid to Mr. Kocher related to a car allowance, (iii) $1,076 we paid on behalf of Mr. Kocher related to life insurance which is a benefit provided to all employees, (iv) $880 we paid to Mr. Kocher for allowances paid to all employees, (v) $12,200 of contributions made by us to our 401(k) plan on behalf of Mr. Kocher and (vi) $60,000 in relocation reimbursement.</w:t>
      </w:r>
    </w:p>
    <w:p>
      <w:pPr>
        <w:spacing w:after="0" w:line="61" w:lineRule="exact"/>
        <w:rPr>
          <w:rFonts w:ascii="Times New Roman" w:cs="Times New Roman" w:eastAsia="Times New Roman" w:hAnsi="Times New Roman"/>
          <w:sz w:val="18"/>
          <w:szCs w:val="18"/>
          <w:color w:val="auto"/>
          <w:vertAlign w:val="superscript"/>
        </w:rPr>
      </w:pPr>
    </w:p>
    <w:p>
      <w:pPr>
        <w:jc w:val="both"/>
        <w:ind w:left="260" w:right="9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$3,293 we paid on behalf of Mr. Munsell related to health insurance, (ii) $2,799 we paid to Mr. Munsell related to a car allowance, (iii) $1,314 of contributions made by us to our 401(k) plan on behalf of Mr. Munsell, (iv) $272 we paid on behalf of Mr. Munsell related to life insurance which is a benefit provided to all employees and (v) $360 we paid to Mr. Munsell for allowances paid to all employees.</w:t>
      </w:r>
    </w:p>
    <w:p>
      <w:pPr>
        <w:spacing w:after="0" w:line="61" w:lineRule="exact"/>
        <w:rPr>
          <w:rFonts w:ascii="Times New Roman" w:cs="Times New Roman" w:eastAsia="Times New Roman" w:hAnsi="Times New Roman"/>
          <w:sz w:val="18"/>
          <w:szCs w:val="18"/>
          <w:color w:val="auto"/>
          <w:vertAlign w:val="superscript"/>
        </w:rPr>
      </w:pPr>
    </w:p>
    <w:p>
      <w:pPr>
        <w:jc w:val="both"/>
        <w:ind w:left="260" w:right="3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$12,417 we paid on behalf of Ms. Montgomery related to health insurance, (ii) $11,196 we paid to Ms. Montgomery related to a car allowance, (iii) $4,821 we paid on behalf of Ms. Montgomery related to life insurance which is a benefit provided to all employees and (iv) $480 we paid to Ms. Montgomery for allowances paid to all employees. On October 11, 2021, Ms. Montgomery was appointed to serve as Chief Human Resources Officer and she became an executive officer of Calavo on April 13, 2022.</w:t>
      </w:r>
    </w:p>
    <w:p>
      <w:pPr>
        <w:spacing w:after="0" w:line="61" w:lineRule="exact"/>
        <w:rPr>
          <w:rFonts w:ascii="Times New Roman" w:cs="Times New Roman" w:eastAsia="Times New Roman" w:hAnsi="Times New Roman"/>
          <w:sz w:val="18"/>
          <w:szCs w:val="18"/>
          <w:color w:val="auto"/>
          <w:vertAlign w:val="superscript"/>
        </w:rPr>
      </w:pPr>
    </w:p>
    <w:p>
      <w:pPr>
        <w:ind w:left="260" w:right="7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$5,059 we paid on behalf of Mr. Wedin related to health insurance, (ii) $9,330 we paid to Mr. Wedin related to a car allowance, (iii) $9,350 of contributions made by us to our 401(k) plan on behalf of Mr. Wedin, (iv) $3,438 we paid on behalf of Mr. Wedin related to life insurance which is a benefit provided to all employees and (v) $400 we paid to Mr. Wedin for allowances paid to all employees.</w:t>
      </w:r>
    </w:p>
    <w:p>
      <w:pPr>
        <w:spacing w:after="0" w:line="61" w:lineRule="exact"/>
        <w:rPr>
          <w:rFonts w:ascii="Times New Roman" w:cs="Times New Roman" w:eastAsia="Times New Roman" w:hAnsi="Times New Roman"/>
          <w:sz w:val="18"/>
          <w:szCs w:val="18"/>
          <w:color w:val="auto"/>
          <w:vertAlign w:val="superscript"/>
        </w:rPr>
      </w:pPr>
    </w:p>
    <w:p>
      <w:pPr>
        <w:ind w:left="260" w:right="79" w:hanging="245"/>
        <w:spacing w:after="0" w:line="207"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$11,506 we paid on behalf of Mr. Araiza related to health insurance, (ii) $9,330 we paid to Mr. Araiza related to a car allowance, (iii) $2,917 we paid on behalf of Mr. Araiza related to life insurance and (iv) $500 we paid to Mr. Araiza for allowances paid to all employees.</w:t>
      </w:r>
    </w:p>
    <w:p>
      <w:pPr>
        <w:spacing w:after="0" w:line="62" w:lineRule="exact"/>
        <w:rPr>
          <w:rFonts w:ascii="Times New Roman" w:cs="Times New Roman" w:eastAsia="Times New Roman" w:hAnsi="Times New Roman"/>
          <w:sz w:val="18"/>
          <w:szCs w:val="18"/>
          <w:color w:val="auto"/>
          <w:vertAlign w:val="superscript"/>
        </w:rPr>
      </w:pPr>
    </w:p>
    <w:p>
      <w:pPr>
        <w:jc w:val="both"/>
        <w:ind w:left="260" w:right="9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$76 we paid on behalf of Mr. Dumas related to health insurance, (ii) $3,266 we paid to Mr. Dumas related to a car allowance, (iii) $2,591 of contributions made by us to our 401(k) plan on behalf of Mr. Dumas, (iv) $203 we paid on behalf of Mr. Dumas related to life insurance which is a benefit provided to all employees and (v) $360 we paid to Mr. Dumas for allowances paid to all employees. On July 11, 2022, Mr. Dumas began serving as Senior Vice President and General Manager of Calavo Grown.</w:t>
      </w:r>
    </w:p>
    <w:p>
      <w:pPr>
        <w:spacing w:after="0" w:line="61" w:lineRule="exact"/>
        <w:rPr>
          <w:rFonts w:ascii="Times New Roman" w:cs="Times New Roman" w:eastAsia="Times New Roman" w:hAnsi="Times New Roman"/>
          <w:sz w:val="18"/>
          <w:szCs w:val="18"/>
          <w:color w:val="auto"/>
          <w:vertAlign w:val="superscript"/>
        </w:rPr>
      </w:pPr>
    </w:p>
    <w:p>
      <w:pPr>
        <w:ind w:left="260" w:right="13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$1,332 we paid on behalf of Ms. Kurtz related to health insurance, (ii) $1,866 we paid to Ms. Kurtz related to a car allowance, (iii) $662 of contributions made by us to our 401(k) plan on behalf of Ms. Kurtz, (iv) $141 we paid on behalf of Ms. Kurtz related to life insurance which is a benefit provided to all employees and (v) $165 we paid to Ms. Kurtz for allowances paid to all employees. On August 17, 2022, Ms. Kurtz began serving as Senior Vice President and General Manager of Calavo Prepared.</w:t>
      </w:r>
    </w:p>
    <w:p>
      <w:pPr>
        <w:spacing w:after="0" w:line="61" w:lineRule="exact"/>
        <w:rPr>
          <w:rFonts w:ascii="Times New Roman" w:cs="Times New Roman" w:eastAsia="Times New Roman" w:hAnsi="Times New Roman"/>
          <w:sz w:val="18"/>
          <w:szCs w:val="18"/>
          <w:color w:val="auto"/>
          <w:vertAlign w:val="superscript"/>
        </w:rPr>
      </w:pPr>
    </w:p>
    <w:p>
      <w:pPr>
        <w:ind w:left="260" w:right="399" w:hanging="245"/>
        <w:spacing w:after="0" w:line="207"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Ms. Matute resigned as Chief Financial Officer effective May 2, 2022. Brian Kocher served as interim Chief Financial Officer from May 3, 2022, through June 19, 2022. Mr. Munsell was appointed Chief Financial Officer on June 10, 2022, with service commencing effective June 20, 2022.</w:t>
      </w:r>
    </w:p>
    <w:p>
      <w:pPr>
        <w:spacing w:after="0" w:line="62" w:lineRule="exact"/>
        <w:rPr>
          <w:rFonts w:ascii="Times New Roman" w:cs="Times New Roman" w:eastAsia="Times New Roman" w:hAnsi="Times New Roman"/>
          <w:sz w:val="18"/>
          <w:szCs w:val="18"/>
          <w:color w:val="auto"/>
          <w:vertAlign w:val="superscript"/>
        </w:rPr>
      </w:pPr>
    </w:p>
    <w:p>
      <w:pPr>
        <w:ind w:left="260" w:right="239" w:hanging="245"/>
        <w:spacing w:after="0" w:line="207"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December 20, 2021, Brian Kocher and Calavo entered into an employment agreement, and he was appointed to serve as Chief Executive Officer of Calavo, with such service commencing on February 1, 2022.</w:t>
      </w:r>
    </w:p>
    <w:p>
      <w:pPr>
        <w:spacing w:after="0" w:line="62" w:lineRule="exact"/>
        <w:rPr>
          <w:rFonts w:ascii="Times New Roman" w:cs="Times New Roman" w:eastAsia="Times New Roman" w:hAnsi="Times New Roman"/>
          <w:sz w:val="18"/>
          <w:szCs w:val="18"/>
          <w:color w:val="auto"/>
          <w:vertAlign w:val="superscript"/>
        </w:rPr>
      </w:pPr>
    </w:p>
    <w:p>
      <w:pPr>
        <w:ind w:left="260" w:right="359" w:hanging="245"/>
        <w:spacing w:after="0" w:line="207"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Mr. Hollister served as a non-employee interim Chief Executive Officer from September 9, 2021 through February 1, 2022. Mr. Hollister was paid $50,000 per month for such services as interim Chief Executive Officer and also continued to earn compensation as a non-employee director as reported in the Director Compensation Table.</w:t>
      </w:r>
    </w:p>
    <w:p>
      <w:pPr>
        <w:spacing w:after="0" w:line="62" w:lineRule="exact"/>
        <w:rPr>
          <w:rFonts w:ascii="Times New Roman" w:cs="Times New Roman" w:eastAsia="Times New Roman" w:hAnsi="Times New Roman"/>
          <w:sz w:val="18"/>
          <w:szCs w:val="18"/>
          <w:color w:val="auto"/>
          <w:vertAlign w:val="superscript"/>
        </w:rPr>
      </w:pPr>
    </w:p>
    <w:p>
      <w:pPr>
        <w:ind w:left="260" w:right="179" w:hanging="245"/>
        <w:spacing w:after="0" w:line="207"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left="260" w:right="179"/>
        <w:spacing w:after="0" w:line="265" w:lineRule="auto"/>
        <w:rPr>
          <w:sz w:val="20"/>
          <w:szCs w:val="20"/>
          <w:color w:val="auto"/>
        </w:rPr>
      </w:pPr>
      <w:r>
        <w:rPr>
          <w:rFonts w:ascii="Times New Roman" w:cs="Times New Roman" w:eastAsia="Times New Roman" w:hAnsi="Times New Roman"/>
          <w:sz w:val="12"/>
          <w:szCs w:val="12"/>
          <w:color w:val="auto"/>
        </w:rPr>
        <w:t>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December 20, 2022, for the fiscal year ended October 31, 2022.</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2020 EQUITY INCENTIVE PLAN OF CALAVO GROWERS, INC.</w:t>
      </w:r>
    </w:p>
    <w:p>
      <w:pPr>
        <w:spacing w:after="0" w:line="154" w:lineRule="exact"/>
        <w:rPr>
          <w:sz w:val="20"/>
          <w:szCs w:val="20"/>
          <w:color w:val="auto"/>
        </w:rPr>
      </w:pPr>
    </w:p>
    <w:p>
      <w:pPr>
        <w:ind w:left="20" w:right="119"/>
        <w:spacing w:after="0" w:line="265" w:lineRule="auto"/>
        <w:rPr>
          <w:sz w:val="20"/>
          <w:szCs w:val="20"/>
          <w:color w:val="auto"/>
        </w:rPr>
      </w:pPr>
      <w:r>
        <w:rPr>
          <w:rFonts w:ascii="Times New Roman" w:cs="Times New Roman" w:eastAsia="Times New Roman" w:hAnsi="Times New Roman"/>
          <w:sz w:val="12"/>
          <w:szCs w:val="12"/>
          <w:color w:val="auto"/>
        </w:rPr>
        <w:t>In April 2021, our shareholders approved the 2020 Plan that had been adopted by Board. All directors, officers, employees and consultants (including prospective directors, officers, employees and consultants) of Calavo and its subsidiaries are eligible to receive awards under the 2020 Plan. Subject to the adjustment provisions of the 2020 Plan that are applicable in the event of a stock dividend, stock split, reverse stock split or similar transaction, up to 1,500,000 shares of common stock may be issued under the 2020 Plan.</w:t>
      </w:r>
    </w:p>
    <w:p>
      <w:pPr>
        <w:spacing w:after="0" w:line="119" w:lineRule="exact"/>
        <w:rPr>
          <w:sz w:val="20"/>
          <w:szCs w:val="20"/>
          <w:color w:val="auto"/>
        </w:rPr>
      </w:pPr>
    </w:p>
    <w:p>
      <w:pPr>
        <w:ind w:left="20" w:right="339"/>
        <w:spacing w:after="0" w:line="265" w:lineRule="auto"/>
        <w:rPr>
          <w:sz w:val="20"/>
          <w:szCs w:val="20"/>
          <w:color w:val="auto"/>
        </w:rPr>
      </w:pPr>
      <w:r>
        <w:rPr>
          <w:rFonts w:ascii="Times New Roman" w:cs="Times New Roman" w:eastAsia="Times New Roman" w:hAnsi="Times New Roman"/>
          <w:sz w:val="12"/>
          <w:szCs w:val="12"/>
          <w:color w:val="auto"/>
        </w:rPr>
        <w:t>The purpose of the 2020 Plan is to promote the interests of Calavo Growers, Inc. and its shareholders by (a) attracting, retaining and motivating directors, officers, employees and consultants (including prospective directors, officers, employees and consultants) of the Company and its affiliates and (b) enabling such individuals to participate in the growth and financial success of the Company.</w:t>
      </w:r>
    </w:p>
    <w:p>
      <w:pPr>
        <w:spacing w:after="0" w:line="119"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The 2020 Plan authorizes the granting of awards in a variety of forms, including the following types of awards to persons who are employees, officers, consultants, advisors, or directors of Calavo or any of its affiliates:</w:t>
      </w:r>
    </w:p>
    <w:p>
      <w:pPr>
        <w:spacing w:after="0" w:line="111" w:lineRule="exact"/>
        <w:rPr>
          <w:sz w:val="20"/>
          <w:szCs w:val="20"/>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“Incentive stock options” that are intended to satisfy the requirements of Section 422 of the Internal Revenue Code of 1986, as amended, and the regulations thereunder;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“Non-qualified stock options” that are not intended to be incentive stock options;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common stock that may be subject to specified restrictions;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PRSUs, or RSUs, that upon vesting can be settled with shares of common stock or their cash equivalent.</w:t>
      </w:r>
    </w:p>
    <w:p>
      <w:pPr>
        <w:spacing w:after="0" w:line="150" w:lineRule="exact"/>
        <w:rPr>
          <w:sz w:val="20"/>
          <w:szCs w:val="20"/>
          <w:color w:val="auto"/>
        </w:rPr>
      </w:pPr>
    </w:p>
    <w:p>
      <w:pPr>
        <w:ind w:left="20" w:right="59"/>
        <w:spacing w:after="0" w:line="255" w:lineRule="auto"/>
        <w:rPr>
          <w:sz w:val="20"/>
          <w:szCs w:val="20"/>
          <w:color w:val="auto"/>
        </w:rPr>
      </w:pPr>
      <w:r>
        <w:rPr>
          <w:rFonts w:ascii="Times New Roman" w:cs="Times New Roman" w:eastAsia="Times New Roman" w:hAnsi="Times New Roman"/>
          <w:sz w:val="12"/>
          <w:szCs w:val="12"/>
          <w:color w:val="auto"/>
        </w:rPr>
        <w:t>The 2020 Plan is administered by our Compensation Committee. The Compensation Committee is responsible for selecting the officers, employees, directors, consultants and advisers, if any, who will receive options and restricted stock. Subject to the requirements imposed by the 2020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2020 Plan, the Compensation Committee is also responsible for determining the terms and conditions of each grant, including the number of shares covered by a grant, the purchase price (if any) and the vesting, transfer and other restrictions imposed on the stock. The Compensation Committee has the power, authority and discretion to make all other determinations deemed necessary or advisable for the administration of the 2020 Plan or of any award under the 2020 Plan.</w:t>
      </w:r>
    </w:p>
    <w:p>
      <w:pPr>
        <w:spacing w:after="0" w:line="126"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Under current tax law, only employees are entitled to receive incentive stock options. The 2020 Plan provides that the exercise price for any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Unless otherwise determined by the Compensation Committee, options granted under the 2020 Plan are generally not transferable, except by will or the laws of descent and distribution.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Except as otherwise provided in the option agreement or other agreement, an option ceases to be exercisable ninety days after the termination of the option holder’s service with us.</w:t>
      </w:r>
    </w:p>
    <w:p>
      <w:pPr>
        <w:spacing w:after="0" w:line="139" w:lineRule="exact"/>
        <w:rPr>
          <w:sz w:val="20"/>
          <w:szCs w:val="20"/>
          <w:color w:val="auto"/>
        </w:rPr>
      </w:pPr>
    </w:p>
    <w:p>
      <w:pPr>
        <w:ind w:left="20" w:right="399"/>
        <w:spacing w:after="0" w:line="279" w:lineRule="auto"/>
        <w:rPr>
          <w:sz w:val="20"/>
          <w:szCs w:val="20"/>
          <w:color w:val="auto"/>
        </w:rPr>
      </w:pPr>
      <w:r>
        <w:rPr>
          <w:rFonts w:ascii="Times New Roman" w:cs="Times New Roman" w:eastAsia="Times New Roman" w:hAnsi="Times New Roman"/>
          <w:sz w:val="12"/>
          <w:szCs w:val="12"/>
          <w:color w:val="auto"/>
        </w:rPr>
        <w:t>The Board may, at any time, amend, discontinue or terminate the 2020 Plan. With specified exceptions, no amendment, suspension or termination of the plan may adversely affect outstanding options or the terms that are applicable to outstanding restricted stock. No amendment or suspension of the 2020 Plan requires shareholder approval unless such</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approval is required under applicable law or under the rules of any stock exchange or NASDAQ market on which our stock is traded.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As described above in section titled “Clawback Provisions,” the 2020 Plan also provides for recoupment of incentive compensation in the event of certain accounting restatements.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GRANTS OF PLAN-BASED AWARDS IN FISCAL YEAR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Estimated Future Payouts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2"/>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6"/>
              </w:rPr>
              <w:t>Estimated Future Payouts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5"/>
              </w:rPr>
              <w:t>Under Non-Equity</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5"/>
              </w:rPr>
              <w:t>Under Equity</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Incentive Plan Awards</w:t>
            </w:r>
            <w:r>
              <w:rPr>
                <w:rFonts w:ascii="Times New Roman" w:cs="Times New Roman" w:eastAsia="Times New Roman" w:hAnsi="Times New Roman"/>
                <w:sz w:val="7"/>
                <w:szCs w:val="7"/>
                <w:b w:val="1"/>
                <w:bCs w:val="1"/>
                <w:color w:val="auto"/>
                <w:w w:val="96"/>
              </w:rPr>
              <w:t>(1)</w:t>
            </w: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Borders>
              <w:bottom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0"/>
                <w:szCs w:val="10"/>
                <w:b w:val="1"/>
                <w:bCs w:val="1"/>
                <w:color w:val="auto"/>
                <w:w w:val="94"/>
              </w:rPr>
              <w:t>Incentive Plan Awards</w:t>
            </w:r>
            <w:r>
              <w:rPr>
                <w:rFonts w:ascii="Times New Roman" w:cs="Times New Roman" w:eastAsia="Times New Roman" w:hAnsi="Times New Roman"/>
                <w:sz w:val="7"/>
                <w:szCs w:val="7"/>
                <w:b w:val="1"/>
                <w:bCs w:val="1"/>
                <w:color w:val="auto"/>
                <w:w w:val="94"/>
              </w:rPr>
              <w:t>(1)</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8"/>
              </w:rPr>
              <w:t>Grant date fair</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140" w:type="dxa"/>
            <w:vAlign w:val="bottom"/>
          </w:tcPr>
          <w:p>
            <w:pPr>
              <w:spacing w:after="0"/>
              <w:rPr>
                <w:sz w:val="9"/>
                <w:szCs w:val="9"/>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7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Maximum</w:t>
            </w:r>
          </w:p>
        </w:tc>
        <w:tc>
          <w:tcPr>
            <w:tcW w:w="74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9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89"/>
              </w:rPr>
              <w:t>Target</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89"/>
              </w:rPr>
              <w:t>Maximum</w:t>
            </w:r>
          </w:p>
        </w:tc>
        <w:tc>
          <w:tcPr>
            <w:tcW w:w="980" w:type="dxa"/>
            <w:vAlign w:val="bottom"/>
            <w:vMerge w:val="continue"/>
          </w:tcPr>
          <w:p>
            <w:pPr>
              <w:spacing w:after="0"/>
              <w:rPr>
                <w:sz w:val="9"/>
                <w:szCs w:val="9"/>
                <w:color w:val="auto"/>
              </w:rPr>
            </w:pPr>
          </w:p>
        </w:tc>
        <w:tc>
          <w:tcPr>
            <w:tcW w:w="860" w:type="dxa"/>
            <w:vAlign w:val="bottom"/>
            <w:vMerge w:val="restart"/>
          </w:tcPr>
          <w:p>
            <w:pPr>
              <w:jc w:val="center"/>
              <w:ind w:left="13"/>
              <w:spacing w:after="0"/>
              <w:rPr>
                <w:sz w:val="20"/>
                <w:szCs w:val="20"/>
                <w:color w:val="auto"/>
              </w:rPr>
            </w:pPr>
            <w:r>
              <w:rPr>
                <w:rFonts w:ascii="Times New Roman" w:cs="Times New Roman" w:eastAsia="Times New Roman" w:hAnsi="Times New Roman"/>
                <w:sz w:val="7"/>
                <w:szCs w:val="7"/>
                <w:b w:val="1"/>
                <w:bCs w:val="1"/>
                <w:color w:val="auto"/>
              </w:rPr>
              <w:t>All other stock awards:</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80" w:type="dxa"/>
            <w:vAlign w:val="bottom"/>
            <w:vMerge w:val="restart"/>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value of stock</w:t>
            </w: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60" w:type="dxa"/>
            <w:vAlign w:val="bottom"/>
          </w:tcPr>
          <w:p>
            <w:pPr>
              <w:jc w:val="center"/>
              <w:ind w:left="13"/>
              <w:spacing w:after="0"/>
              <w:rPr>
                <w:sz w:val="20"/>
                <w:szCs w:val="20"/>
                <w:color w:val="auto"/>
              </w:rPr>
            </w:pPr>
            <w:r>
              <w:rPr>
                <w:rFonts w:ascii="Times New Roman" w:cs="Times New Roman" w:eastAsia="Times New Roman" w:hAnsi="Times New Roman"/>
                <w:sz w:val="7"/>
                <w:szCs w:val="7"/>
                <w:b w:val="1"/>
                <w:bCs w:val="1"/>
                <w:color w:val="auto"/>
              </w:rPr>
              <w:t>Number of shares</w:t>
            </w:r>
          </w:p>
        </w:tc>
        <w:tc>
          <w:tcPr>
            <w:tcW w:w="0" w:type="dxa"/>
            <w:vAlign w:val="bottom"/>
          </w:tcPr>
          <w:p>
            <w:pPr>
              <w:spacing w:after="0"/>
              <w:rPr>
                <w:sz w:val="1"/>
                <w:szCs w:val="1"/>
                <w:color w:val="auto"/>
              </w:rPr>
            </w:pPr>
          </w:p>
        </w:tc>
      </w:tr>
      <w:tr>
        <w:trPr>
          <w:trHeight w:val="131"/>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b w:val="1"/>
                <w:bCs w:val="1"/>
                <w:color w:val="auto"/>
              </w:rPr>
              <w:t>Name/Award Type</w:t>
            </w:r>
          </w:p>
        </w:tc>
        <w:tc>
          <w:tcPr>
            <w:tcW w:w="14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940" w:type="dxa"/>
            <w:vAlign w:val="bottom"/>
            <w:gridSpan w:val="2"/>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7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98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awards ($)</w:t>
            </w:r>
          </w:p>
        </w:tc>
        <w:tc>
          <w:tcPr>
            <w:tcW w:w="860" w:type="dxa"/>
            <w:vAlign w:val="bottom"/>
          </w:tcPr>
          <w:p>
            <w:pPr>
              <w:jc w:val="center"/>
              <w:ind w:left="13"/>
              <w:spacing w:after="0"/>
              <w:rPr>
                <w:sz w:val="20"/>
                <w:szCs w:val="20"/>
                <w:color w:val="auto"/>
              </w:rPr>
            </w:pPr>
            <w:r>
              <w:rPr>
                <w:rFonts w:ascii="Times New Roman" w:cs="Times New Roman" w:eastAsia="Times New Roman" w:hAnsi="Times New Roman"/>
                <w:sz w:val="7"/>
                <w:szCs w:val="7"/>
                <w:b w:val="1"/>
                <w:bCs w:val="1"/>
                <w:color w:val="auto"/>
                <w:w w:val="99"/>
              </w:rPr>
              <w:t>of stock or units</w:t>
            </w:r>
          </w:p>
        </w:tc>
        <w:tc>
          <w:tcPr>
            <w:tcW w:w="0" w:type="dxa"/>
            <w:vAlign w:val="bottom"/>
          </w:tcPr>
          <w:p>
            <w:pPr>
              <w:spacing w:after="0"/>
              <w:rPr>
                <w:sz w:val="1"/>
                <w:szCs w:val="1"/>
                <w:color w:val="auto"/>
              </w:rPr>
            </w:pPr>
          </w:p>
        </w:tc>
      </w:tr>
      <w:tr>
        <w:trPr>
          <w:trHeight w:val="121"/>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i w:val="1"/>
                <w:iCs w:val="1"/>
                <w:color w:val="auto"/>
              </w:rPr>
              <w:t>Brian Kocher,</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800" w:type="dxa"/>
            <w:vAlign w:val="bottom"/>
            <w:shd w:val="clear" w:color="auto" w:fill="CCFFEE"/>
          </w:tcPr>
          <w:p>
            <w:pPr>
              <w:spacing w:after="0"/>
              <w:rPr>
                <w:sz w:val="10"/>
                <w:szCs w:val="10"/>
                <w:color w:val="auto"/>
              </w:rPr>
            </w:pPr>
          </w:p>
        </w:tc>
        <w:tc>
          <w:tcPr>
            <w:tcW w:w="700" w:type="dxa"/>
            <w:vAlign w:val="bottom"/>
            <w:shd w:val="clear" w:color="auto" w:fill="CCFFEE"/>
          </w:tcPr>
          <w:p>
            <w:pPr>
              <w:spacing w:after="0"/>
              <w:rPr>
                <w:sz w:val="10"/>
                <w:szCs w:val="10"/>
                <w:color w:val="auto"/>
              </w:rPr>
            </w:pPr>
          </w:p>
        </w:tc>
        <w:tc>
          <w:tcPr>
            <w:tcW w:w="68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740" w:type="dxa"/>
            <w:vAlign w:val="bottom"/>
            <w:shd w:val="clear" w:color="auto" w:fill="CCFFEE"/>
          </w:tcPr>
          <w:p>
            <w:pPr>
              <w:spacing w:after="0"/>
              <w:rPr>
                <w:sz w:val="10"/>
                <w:szCs w:val="10"/>
                <w:color w:val="auto"/>
              </w:rPr>
            </w:pPr>
          </w:p>
        </w:tc>
        <w:tc>
          <w:tcPr>
            <w:tcW w:w="900" w:type="dxa"/>
            <w:vAlign w:val="bottom"/>
            <w:shd w:val="clear" w:color="auto" w:fill="CCFFEE"/>
          </w:tcPr>
          <w:p>
            <w:pPr>
              <w:spacing w:after="0"/>
              <w:rPr>
                <w:sz w:val="10"/>
                <w:szCs w:val="10"/>
                <w:color w:val="auto"/>
              </w:rPr>
            </w:pPr>
          </w:p>
        </w:tc>
        <w:tc>
          <w:tcPr>
            <w:tcW w:w="5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980" w:type="dxa"/>
            <w:vAlign w:val="bottom"/>
            <w:shd w:val="clear" w:color="auto" w:fill="CCFFEE"/>
          </w:tcPr>
          <w:p>
            <w:pPr>
              <w:spacing w:after="0"/>
              <w:rPr>
                <w:sz w:val="10"/>
                <w:szCs w:val="10"/>
                <w:color w:val="auto"/>
              </w:rPr>
            </w:pPr>
          </w:p>
        </w:tc>
        <w:tc>
          <w:tcPr>
            <w:tcW w:w="860" w:type="dxa"/>
            <w:vAlign w:val="bottom"/>
            <w:shd w:val="clear" w:color="auto" w:fill="CCFFE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900" w:type="dxa"/>
            <w:vAlign w:val="bottom"/>
            <w:tcBorders>
              <w:bottom w:val="single" w:sz="8" w:color="auto"/>
            </w:tcBorders>
            <w:gridSpan w:val="4"/>
            <w:shd w:val="clear" w:color="auto" w:fill="CCFFEE"/>
          </w:tcPr>
          <w:p>
            <w:pPr>
              <w:spacing w:after="0" w:line="107" w:lineRule="exact"/>
              <w:rPr>
                <w:sz w:val="20"/>
                <w:szCs w:val="20"/>
                <w:color w:val="auto"/>
              </w:rPr>
            </w:pPr>
            <w:r>
              <w:rPr>
                <w:rFonts w:ascii="Times New Roman" w:cs="Times New Roman" w:eastAsia="Times New Roman" w:hAnsi="Times New Roman"/>
                <w:sz w:val="10"/>
                <w:szCs w:val="10"/>
                <w:i w:val="1"/>
                <w:iCs w:val="1"/>
                <w:color w:val="auto"/>
                <w:w w:val="93"/>
              </w:rPr>
              <w:t>Chief Executive Officer</w:t>
            </w:r>
          </w:p>
        </w:tc>
        <w:tc>
          <w:tcPr>
            <w:tcW w:w="920" w:type="dxa"/>
            <w:vAlign w:val="bottom"/>
            <w:tcBorders>
              <w:bottom w:val="single" w:sz="8" w:color="CCFFEE"/>
            </w:tcBorders>
            <w:gridSpan w:val="6"/>
            <w:shd w:val="clear" w:color="auto" w:fill="CCFFEE"/>
          </w:tcPr>
          <w:p>
            <w:pPr>
              <w:spacing w:after="0"/>
              <w:rPr>
                <w:sz w:val="9"/>
                <w:szCs w:val="9"/>
                <w:color w:val="auto"/>
              </w:rPr>
            </w:pPr>
          </w:p>
        </w:tc>
        <w:tc>
          <w:tcPr>
            <w:tcW w:w="140" w:type="dxa"/>
            <w:vAlign w:val="bottom"/>
            <w:tcBorders>
              <w:bottom w:val="single" w:sz="8" w:color="CCFFEE"/>
            </w:tcBorders>
            <w:shd w:val="clear" w:color="auto" w:fill="CCFFEE"/>
          </w:tcPr>
          <w:p>
            <w:pPr>
              <w:spacing w:after="0"/>
              <w:rPr>
                <w:sz w:val="9"/>
                <w:szCs w:val="9"/>
                <w:color w:val="auto"/>
              </w:rPr>
            </w:pPr>
          </w:p>
        </w:tc>
        <w:tc>
          <w:tcPr>
            <w:tcW w:w="500" w:type="dxa"/>
            <w:vAlign w:val="bottom"/>
            <w:tcBorders>
              <w:bottom w:val="single" w:sz="8" w:color="CCFFEE"/>
            </w:tcBorders>
            <w:shd w:val="clear" w:color="auto" w:fill="CCFFEE"/>
          </w:tcPr>
          <w:p>
            <w:pPr>
              <w:spacing w:after="0"/>
              <w:rPr>
                <w:sz w:val="9"/>
                <w:szCs w:val="9"/>
                <w:color w:val="auto"/>
              </w:rPr>
            </w:pPr>
          </w:p>
        </w:tc>
        <w:tc>
          <w:tcPr>
            <w:tcW w:w="140" w:type="dxa"/>
            <w:vAlign w:val="bottom"/>
            <w:tcBorders>
              <w:bottom w:val="single" w:sz="8" w:color="CCFFEE"/>
            </w:tcBorders>
            <w:shd w:val="clear" w:color="auto" w:fill="CCFFEE"/>
          </w:tcPr>
          <w:p>
            <w:pPr>
              <w:spacing w:after="0"/>
              <w:rPr>
                <w:sz w:val="9"/>
                <w:szCs w:val="9"/>
                <w:color w:val="auto"/>
              </w:rPr>
            </w:pPr>
          </w:p>
        </w:tc>
        <w:tc>
          <w:tcPr>
            <w:tcW w:w="800" w:type="dxa"/>
            <w:vAlign w:val="bottom"/>
            <w:tcBorders>
              <w:bottom w:val="single" w:sz="8" w:color="CCFFEE"/>
            </w:tcBorders>
            <w:shd w:val="clear" w:color="auto" w:fill="CCFFEE"/>
          </w:tcPr>
          <w:p>
            <w:pPr>
              <w:spacing w:after="0"/>
              <w:rPr>
                <w:sz w:val="9"/>
                <w:szCs w:val="9"/>
                <w:color w:val="auto"/>
              </w:rPr>
            </w:pPr>
          </w:p>
        </w:tc>
        <w:tc>
          <w:tcPr>
            <w:tcW w:w="700" w:type="dxa"/>
            <w:vAlign w:val="bottom"/>
            <w:tcBorders>
              <w:bottom w:val="single" w:sz="8" w:color="CCFFEE"/>
            </w:tcBorders>
            <w:shd w:val="clear" w:color="auto" w:fill="CCFFEE"/>
          </w:tcPr>
          <w:p>
            <w:pPr>
              <w:spacing w:after="0"/>
              <w:rPr>
                <w:sz w:val="9"/>
                <w:szCs w:val="9"/>
                <w:color w:val="auto"/>
              </w:rPr>
            </w:pPr>
          </w:p>
        </w:tc>
        <w:tc>
          <w:tcPr>
            <w:tcW w:w="680" w:type="dxa"/>
            <w:vAlign w:val="bottom"/>
            <w:tcBorders>
              <w:bottom w:val="single" w:sz="8" w:color="CCFFEE"/>
            </w:tcBorders>
            <w:shd w:val="clear" w:color="auto" w:fill="CCFFEE"/>
          </w:tcPr>
          <w:p>
            <w:pPr>
              <w:spacing w:after="0"/>
              <w:rPr>
                <w:sz w:val="9"/>
                <w:szCs w:val="9"/>
                <w:color w:val="auto"/>
              </w:rPr>
            </w:pPr>
          </w:p>
        </w:tc>
        <w:tc>
          <w:tcPr>
            <w:tcW w:w="140" w:type="dxa"/>
            <w:vAlign w:val="bottom"/>
            <w:tcBorders>
              <w:bottom w:val="single" w:sz="8" w:color="CCFFEE"/>
            </w:tcBorders>
            <w:shd w:val="clear" w:color="auto" w:fill="CCFFEE"/>
          </w:tcPr>
          <w:p>
            <w:pPr>
              <w:spacing w:after="0"/>
              <w:rPr>
                <w:sz w:val="9"/>
                <w:szCs w:val="9"/>
                <w:color w:val="auto"/>
              </w:rPr>
            </w:pPr>
          </w:p>
        </w:tc>
        <w:tc>
          <w:tcPr>
            <w:tcW w:w="740" w:type="dxa"/>
            <w:vAlign w:val="bottom"/>
            <w:tcBorders>
              <w:bottom w:val="single" w:sz="8" w:color="CCFFEE"/>
            </w:tcBorders>
            <w:shd w:val="clear" w:color="auto" w:fill="CCFFEE"/>
          </w:tcPr>
          <w:p>
            <w:pPr>
              <w:spacing w:after="0"/>
              <w:rPr>
                <w:sz w:val="9"/>
                <w:szCs w:val="9"/>
                <w:color w:val="auto"/>
              </w:rPr>
            </w:pPr>
          </w:p>
        </w:tc>
        <w:tc>
          <w:tcPr>
            <w:tcW w:w="900" w:type="dxa"/>
            <w:vAlign w:val="bottom"/>
            <w:tcBorders>
              <w:bottom w:val="single" w:sz="8" w:color="CCFFEE"/>
            </w:tcBorders>
            <w:shd w:val="clear" w:color="auto" w:fill="CCFFEE"/>
          </w:tcPr>
          <w:p>
            <w:pPr>
              <w:spacing w:after="0"/>
              <w:rPr>
                <w:sz w:val="9"/>
                <w:szCs w:val="9"/>
                <w:color w:val="auto"/>
              </w:rPr>
            </w:pPr>
          </w:p>
        </w:tc>
        <w:tc>
          <w:tcPr>
            <w:tcW w:w="540" w:type="dxa"/>
            <w:vAlign w:val="bottom"/>
            <w:tcBorders>
              <w:bottom w:val="single" w:sz="8" w:color="CCFFEE"/>
            </w:tcBorders>
            <w:shd w:val="clear" w:color="auto" w:fill="CCFFEE"/>
          </w:tcPr>
          <w:p>
            <w:pPr>
              <w:spacing w:after="0"/>
              <w:rPr>
                <w:sz w:val="9"/>
                <w:szCs w:val="9"/>
                <w:color w:val="auto"/>
              </w:rPr>
            </w:pPr>
          </w:p>
        </w:tc>
        <w:tc>
          <w:tcPr>
            <w:tcW w:w="100" w:type="dxa"/>
            <w:vAlign w:val="bottom"/>
            <w:tcBorders>
              <w:bottom w:val="single" w:sz="8" w:color="CCFFEE"/>
            </w:tcBorders>
            <w:shd w:val="clear" w:color="auto" w:fill="CCFFEE"/>
          </w:tcPr>
          <w:p>
            <w:pPr>
              <w:spacing w:after="0"/>
              <w:rPr>
                <w:sz w:val="9"/>
                <w:szCs w:val="9"/>
                <w:color w:val="auto"/>
              </w:rPr>
            </w:pPr>
          </w:p>
        </w:tc>
        <w:tc>
          <w:tcPr>
            <w:tcW w:w="980" w:type="dxa"/>
            <w:vAlign w:val="bottom"/>
            <w:tcBorders>
              <w:bottom w:val="single" w:sz="8" w:color="CCFFEE"/>
            </w:tcBorders>
            <w:shd w:val="clear" w:color="auto" w:fill="CCFFEE"/>
          </w:tcPr>
          <w:p>
            <w:pPr>
              <w:spacing w:after="0"/>
              <w:rPr>
                <w:sz w:val="9"/>
                <w:szCs w:val="9"/>
                <w:color w:val="auto"/>
              </w:rPr>
            </w:pPr>
          </w:p>
        </w:tc>
        <w:tc>
          <w:tcPr>
            <w:tcW w:w="860" w:type="dxa"/>
            <w:vAlign w:val="bottom"/>
            <w:tcBorders>
              <w:bottom w:val="single" w:sz="8" w:color="CCFFEE"/>
            </w:tcBorders>
            <w:shd w:val="clear" w:color="auto" w:fill="CCFFE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-Cash Incentive</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400,000</w:t>
            </w:r>
          </w:p>
        </w:tc>
        <w:tc>
          <w:tcPr>
            <w:tcW w:w="700" w:type="dxa"/>
            <w:vAlign w:val="bottom"/>
            <w:shd w:val="clear" w:color="auto" w:fill="CCFFEE"/>
          </w:tcPr>
          <w:p>
            <w:pPr>
              <w:jc w:val="right"/>
              <w:ind w:right="92"/>
              <w:spacing w:after="0"/>
              <w:rPr>
                <w:sz w:val="20"/>
                <w:szCs w:val="20"/>
                <w:color w:val="auto"/>
              </w:rPr>
            </w:pPr>
            <w:r>
              <w:rPr>
                <w:rFonts w:ascii="Times New Roman" w:cs="Times New Roman" w:eastAsia="Times New Roman" w:hAnsi="Times New Roman"/>
                <w:sz w:val="10"/>
                <w:szCs w:val="10"/>
                <w:color w:val="auto"/>
              </w:rPr>
              <w:t>800,000</w:t>
            </w:r>
          </w:p>
        </w:tc>
        <w:tc>
          <w:tcPr>
            <w:tcW w:w="68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1,440,00</w:t>
            </w:r>
          </w:p>
        </w:tc>
        <w:tc>
          <w:tcPr>
            <w:tcW w:w="140" w:type="dxa"/>
            <w:vAlign w:val="bottom"/>
            <w:shd w:val="clear" w:color="auto" w:fill="CCFFEE"/>
          </w:tcPr>
          <w:p>
            <w:pPr>
              <w:spacing w:after="0"/>
              <w:rPr>
                <w:sz w:val="10"/>
                <w:szCs w:val="10"/>
                <w:color w:val="auto"/>
              </w:rPr>
            </w:pP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-Performance based RSUs</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rPr>
              <w:t>4/1/22</w:t>
            </w:r>
          </w:p>
        </w:tc>
        <w:tc>
          <w:tcPr>
            <w:tcW w:w="940" w:type="dxa"/>
            <w:vAlign w:val="bottom"/>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5,335</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10,670</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21,340</w:t>
            </w:r>
          </w:p>
        </w:tc>
        <w:tc>
          <w:tcPr>
            <w:tcW w:w="980" w:type="dxa"/>
            <w:vAlign w:val="bottom"/>
            <w:shd w:val="clear" w:color="auto" w:fill="CCFFEE"/>
          </w:tcPr>
          <w:p>
            <w:pPr>
              <w:jc w:val="right"/>
              <w:ind w:right="52"/>
              <w:spacing w:after="0"/>
              <w:rPr>
                <w:sz w:val="20"/>
                <w:szCs w:val="20"/>
                <w:color w:val="auto"/>
              </w:rPr>
            </w:pPr>
            <w:r>
              <w:rPr>
                <w:rFonts w:ascii="Times New Roman" w:cs="Times New Roman" w:eastAsia="Times New Roman" w:hAnsi="Times New Roman"/>
                <w:sz w:val="10"/>
                <w:szCs w:val="10"/>
                <w:color w:val="auto"/>
              </w:rPr>
              <w:t>400,000</w:t>
            </w:r>
            <w:r>
              <w:rPr>
                <w:rFonts w:ascii="Times New Roman" w:cs="Times New Roman" w:eastAsia="Times New Roman" w:hAnsi="Times New Roman"/>
                <w:sz w:val="7"/>
                <w:szCs w:val="7"/>
                <w:b w:val="1"/>
                <w:bCs w:val="1"/>
                <w:color w:val="auto"/>
              </w:rPr>
              <w:t>(2)</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-Time-based RSUs</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rPr>
              <w:t>4/1/22</w:t>
            </w:r>
          </w:p>
        </w:tc>
        <w:tc>
          <w:tcPr>
            <w:tcW w:w="140" w:type="dxa"/>
            <w:vAlign w:val="bottom"/>
            <w:shd w:val="clear" w:color="auto" w:fill="CCFFEE"/>
          </w:tcPr>
          <w:p>
            <w:pPr>
              <w:spacing w:after="0"/>
              <w:rPr>
                <w:sz w:val="10"/>
                <w:szCs w:val="10"/>
                <w:color w:val="auto"/>
              </w:rPr>
            </w:pPr>
          </w:p>
        </w:tc>
        <w:tc>
          <w:tcPr>
            <w:tcW w:w="800" w:type="dxa"/>
            <w:vAlign w:val="bottom"/>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10,670</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10,670</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10,670</w:t>
            </w:r>
          </w:p>
        </w:tc>
        <w:tc>
          <w:tcPr>
            <w:tcW w:w="980" w:type="dxa"/>
            <w:vAlign w:val="bottom"/>
            <w:shd w:val="clear" w:color="auto" w:fill="CCFFEE"/>
          </w:tcPr>
          <w:p>
            <w:pPr>
              <w:jc w:val="right"/>
              <w:ind w:right="52"/>
              <w:spacing w:after="0"/>
              <w:rPr>
                <w:sz w:val="20"/>
                <w:szCs w:val="20"/>
                <w:color w:val="auto"/>
              </w:rPr>
            </w:pPr>
            <w:r>
              <w:rPr>
                <w:rFonts w:ascii="Times New Roman" w:cs="Times New Roman" w:eastAsia="Times New Roman" w:hAnsi="Times New Roman"/>
                <w:sz w:val="10"/>
                <w:szCs w:val="10"/>
                <w:color w:val="auto"/>
              </w:rPr>
              <w:t>400,000</w:t>
            </w:r>
            <w:r>
              <w:rPr>
                <w:rFonts w:ascii="Times New Roman" w:cs="Times New Roman" w:eastAsia="Times New Roman" w:hAnsi="Times New Roman"/>
                <w:sz w:val="7"/>
                <w:szCs w:val="7"/>
                <w:b w:val="1"/>
                <w:bCs w:val="1"/>
                <w:color w:val="auto"/>
              </w:rPr>
              <w:t>(2)</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4"/>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-Other stock awards</w:t>
            </w:r>
          </w:p>
        </w:tc>
        <w:tc>
          <w:tcPr>
            <w:tcW w:w="140" w:type="dxa"/>
            <w:vAlign w:val="bottom"/>
            <w:shd w:val="clear" w:color="auto" w:fill="CCFFEE"/>
          </w:tcPr>
          <w:p>
            <w:pPr>
              <w:spacing w:after="0"/>
              <w:rPr>
                <w:sz w:val="11"/>
                <w:szCs w:val="11"/>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rPr>
              <w:t>2/1/22</w:t>
            </w:r>
          </w:p>
        </w:tc>
        <w:tc>
          <w:tcPr>
            <w:tcW w:w="140" w:type="dxa"/>
            <w:vAlign w:val="bottom"/>
            <w:shd w:val="clear" w:color="auto" w:fill="CCFFEE"/>
          </w:tcPr>
          <w:p>
            <w:pPr>
              <w:spacing w:after="0"/>
              <w:rPr>
                <w:sz w:val="11"/>
                <w:szCs w:val="11"/>
                <w:color w:val="auto"/>
              </w:rPr>
            </w:pPr>
          </w:p>
        </w:tc>
        <w:tc>
          <w:tcPr>
            <w:tcW w:w="800" w:type="dxa"/>
            <w:vAlign w:val="bottom"/>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FFEE"/>
          </w:tcPr>
          <w:p>
            <w:pPr>
              <w:jc w:val="right"/>
              <w:ind w:right="52"/>
              <w:spacing w:after="0"/>
              <w:rPr>
                <w:sz w:val="20"/>
                <w:szCs w:val="20"/>
                <w:color w:val="auto"/>
              </w:rPr>
            </w:pPr>
            <w:r>
              <w:rPr>
                <w:rFonts w:ascii="Times New Roman" w:cs="Times New Roman" w:eastAsia="Times New Roman" w:hAnsi="Times New Roman"/>
                <w:sz w:val="10"/>
                <w:szCs w:val="10"/>
                <w:color w:val="auto"/>
              </w:rPr>
              <w:t>1,200,000</w:t>
            </w:r>
            <w:r>
              <w:rPr>
                <w:rFonts w:ascii="Times New Roman" w:cs="Times New Roman" w:eastAsia="Times New Roman" w:hAnsi="Times New Roman"/>
                <w:sz w:val="7"/>
                <w:szCs w:val="7"/>
                <w:b w:val="1"/>
                <w:bCs w:val="1"/>
                <w:color w:val="auto"/>
              </w:rPr>
              <w:t>(3)</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28,993</w:t>
            </w:r>
            <w:r>
              <w:rPr>
                <w:rFonts w:ascii="Times New Roman" w:cs="Times New Roman" w:eastAsia="Times New Roman" w:hAnsi="Times New Roman"/>
                <w:sz w:val="7"/>
                <w:szCs w:val="7"/>
                <w:b w:val="1"/>
                <w:bCs w:val="1"/>
                <w:color w:val="auto"/>
              </w:rPr>
              <w:t>(3)</w:t>
            </w:r>
          </w:p>
        </w:tc>
        <w:tc>
          <w:tcPr>
            <w:tcW w:w="0" w:type="dxa"/>
            <w:vAlign w:val="bottom"/>
          </w:tcPr>
          <w:p>
            <w:pPr>
              <w:spacing w:after="0"/>
              <w:rPr>
                <w:sz w:val="1"/>
                <w:szCs w:val="1"/>
                <w:color w:val="auto"/>
              </w:rPr>
            </w:pPr>
          </w:p>
        </w:tc>
      </w:tr>
      <w:tr>
        <w:trPr>
          <w:trHeight w:val="119"/>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i w:val="1"/>
                <w:iCs w:val="1"/>
                <w:color w:val="auto"/>
              </w:rPr>
              <w:t>Shawn Munsell</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900" w:type="dxa"/>
            <w:vAlign w:val="bottom"/>
            <w:tcBorders>
              <w:bottom w:val="single" w:sz="8" w:color="auto"/>
            </w:tcBorders>
            <w:gridSpan w:val="4"/>
          </w:tcPr>
          <w:p>
            <w:pPr>
              <w:spacing w:after="0" w:line="107" w:lineRule="exact"/>
              <w:rPr>
                <w:sz w:val="20"/>
                <w:szCs w:val="20"/>
                <w:color w:val="auto"/>
              </w:rPr>
            </w:pPr>
            <w:r>
              <w:rPr>
                <w:rFonts w:ascii="Times New Roman" w:cs="Times New Roman" w:eastAsia="Times New Roman" w:hAnsi="Times New Roman"/>
                <w:sz w:val="10"/>
                <w:szCs w:val="10"/>
                <w:i w:val="1"/>
                <w:iCs w:val="1"/>
                <w:color w:val="auto"/>
                <w:w w:val="93"/>
              </w:rPr>
              <w:t>Chief Financial Officer</w:t>
            </w:r>
          </w:p>
        </w:tc>
        <w:tc>
          <w:tcPr>
            <w:tcW w:w="920" w:type="dxa"/>
            <w:vAlign w:val="bottom"/>
            <w:gridSpan w:val="6"/>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-Cash Incentive</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41,500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103,750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186,750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-Performance based RSUs</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-Time-based RSUs</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4"/>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-Other stock awards</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10"/>
                <w:szCs w:val="10"/>
                <w:color w:val="auto"/>
                <w:w w:val="98"/>
              </w:rPr>
              <w:t>6/20/22</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350,000</w:t>
            </w:r>
            <w:r>
              <w:rPr>
                <w:rFonts w:ascii="Times New Roman" w:cs="Times New Roman" w:eastAsia="Times New Roman" w:hAnsi="Times New Roman"/>
                <w:sz w:val="7"/>
                <w:szCs w:val="7"/>
                <w:b w:val="1"/>
                <w:bCs w:val="1"/>
                <w:color w:val="auto"/>
              </w:rPr>
              <w:t>(4)</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9,002</w:t>
            </w:r>
            <w:r>
              <w:rPr>
                <w:rFonts w:ascii="Times New Roman" w:cs="Times New Roman" w:eastAsia="Times New Roman" w:hAnsi="Times New Roman"/>
                <w:sz w:val="7"/>
                <w:szCs w:val="7"/>
                <w:b w:val="1"/>
                <w:bCs w:val="1"/>
                <w:color w:val="auto"/>
              </w:rPr>
              <w:t>(4)</w:t>
            </w:r>
          </w:p>
        </w:tc>
        <w:tc>
          <w:tcPr>
            <w:tcW w:w="0" w:type="dxa"/>
            <w:vAlign w:val="bottom"/>
          </w:tcPr>
          <w:p>
            <w:pPr>
              <w:spacing w:after="0"/>
              <w:rPr>
                <w:sz w:val="1"/>
                <w:szCs w:val="1"/>
                <w:color w:val="auto"/>
              </w:rPr>
            </w:pPr>
          </w:p>
        </w:tc>
      </w:tr>
      <w:tr>
        <w:trPr>
          <w:trHeight w:val="113"/>
        </w:trPr>
        <w:tc>
          <w:tcPr>
            <w:tcW w:w="1820" w:type="dxa"/>
            <w:vAlign w:val="bottom"/>
            <w:gridSpan w:val="10"/>
            <w:shd w:val="clear" w:color="auto" w:fill="CCFFEE"/>
          </w:tcPr>
          <w:p>
            <w:pPr>
              <w:spacing w:after="0" w:line="114" w:lineRule="exact"/>
              <w:rPr>
                <w:sz w:val="20"/>
                <w:szCs w:val="20"/>
                <w:color w:val="auto"/>
              </w:rPr>
            </w:pPr>
            <w:r>
              <w:rPr>
                <w:rFonts w:ascii="Times New Roman" w:cs="Times New Roman" w:eastAsia="Times New Roman" w:hAnsi="Times New Roman"/>
                <w:sz w:val="10"/>
                <w:szCs w:val="10"/>
                <w:i w:val="1"/>
                <w:iCs w:val="1"/>
                <w:color w:val="auto"/>
              </w:rPr>
              <w:t>Graciela Montgomery</w:t>
            </w:r>
          </w:p>
        </w:tc>
        <w:tc>
          <w:tcPr>
            <w:tcW w:w="140" w:type="dxa"/>
            <w:vAlign w:val="bottom"/>
            <w:shd w:val="clear" w:color="auto" w:fill="CCFFEE"/>
          </w:tcPr>
          <w:p>
            <w:pPr>
              <w:spacing w:after="0"/>
              <w:rPr>
                <w:sz w:val="9"/>
                <w:szCs w:val="9"/>
                <w:color w:val="auto"/>
              </w:rPr>
            </w:pPr>
          </w:p>
        </w:tc>
        <w:tc>
          <w:tcPr>
            <w:tcW w:w="500" w:type="dxa"/>
            <w:vAlign w:val="bottom"/>
            <w:shd w:val="clear" w:color="auto" w:fill="CCFFEE"/>
          </w:tcPr>
          <w:p>
            <w:pPr>
              <w:spacing w:after="0"/>
              <w:rPr>
                <w:sz w:val="9"/>
                <w:szCs w:val="9"/>
                <w:color w:val="auto"/>
              </w:rPr>
            </w:pPr>
          </w:p>
        </w:tc>
        <w:tc>
          <w:tcPr>
            <w:tcW w:w="140" w:type="dxa"/>
            <w:vAlign w:val="bottom"/>
            <w:shd w:val="clear" w:color="auto" w:fill="CCFFEE"/>
          </w:tcPr>
          <w:p>
            <w:pPr>
              <w:spacing w:after="0"/>
              <w:rPr>
                <w:sz w:val="9"/>
                <w:szCs w:val="9"/>
                <w:color w:val="auto"/>
              </w:rPr>
            </w:pPr>
          </w:p>
        </w:tc>
        <w:tc>
          <w:tcPr>
            <w:tcW w:w="800" w:type="dxa"/>
            <w:vAlign w:val="bottom"/>
            <w:shd w:val="clear" w:color="auto" w:fill="CCFFEE"/>
          </w:tcPr>
          <w:p>
            <w:pPr>
              <w:spacing w:after="0"/>
              <w:rPr>
                <w:sz w:val="9"/>
                <w:szCs w:val="9"/>
                <w:color w:val="auto"/>
              </w:rPr>
            </w:pPr>
          </w:p>
        </w:tc>
        <w:tc>
          <w:tcPr>
            <w:tcW w:w="700" w:type="dxa"/>
            <w:vAlign w:val="bottom"/>
            <w:shd w:val="clear" w:color="auto" w:fill="CCFFEE"/>
          </w:tcPr>
          <w:p>
            <w:pPr>
              <w:spacing w:after="0"/>
              <w:rPr>
                <w:sz w:val="9"/>
                <w:szCs w:val="9"/>
                <w:color w:val="auto"/>
              </w:rPr>
            </w:pPr>
          </w:p>
        </w:tc>
        <w:tc>
          <w:tcPr>
            <w:tcW w:w="680" w:type="dxa"/>
            <w:vAlign w:val="bottom"/>
            <w:shd w:val="clear" w:color="auto" w:fill="CCFFEE"/>
          </w:tcPr>
          <w:p>
            <w:pPr>
              <w:spacing w:after="0"/>
              <w:rPr>
                <w:sz w:val="9"/>
                <w:szCs w:val="9"/>
                <w:color w:val="auto"/>
              </w:rPr>
            </w:pPr>
          </w:p>
        </w:tc>
        <w:tc>
          <w:tcPr>
            <w:tcW w:w="140" w:type="dxa"/>
            <w:vAlign w:val="bottom"/>
            <w:shd w:val="clear" w:color="auto" w:fill="CCFFEE"/>
          </w:tcPr>
          <w:p>
            <w:pPr>
              <w:spacing w:after="0"/>
              <w:rPr>
                <w:sz w:val="9"/>
                <w:szCs w:val="9"/>
                <w:color w:val="auto"/>
              </w:rPr>
            </w:pPr>
          </w:p>
        </w:tc>
        <w:tc>
          <w:tcPr>
            <w:tcW w:w="740" w:type="dxa"/>
            <w:vAlign w:val="bottom"/>
            <w:shd w:val="clear" w:color="auto" w:fill="CCFFEE"/>
          </w:tcPr>
          <w:p>
            <w:pPr>
              <w:spacing w:after="0"/>
              <w:rPr>
                <w:sz w:val="9"/>
                <w:szCs w:val="9"/>
                <w:color w:val="auto"/>
              </w:rPr>
            </w:pPr>
          </w:p>
        </w:tc>
        <w:tc>
          <w:tcPr>
            <w:tcW w:w="900" w:type="dxa"/>
            <w:vAlign w:val="bottom"/>
            <w:shd w:val="clear" w:color="auto" w:fill="CCFFEE"/>
          </w:tcPr>
          <w:p>
            <w:pPr>
              <w:spacing w:after="0"/>
              <w:rPr>
                <w:sz w:val="9"/>
                <w:szCs w:val="9"/>
                <w:color w:val="auto"/>
              </w:rPr>
            </w:pPr>
          </w:p>
        </w:tc>
        <w:tc>
          <w:tcPr>
            <w:tcW w:w="540" w:type="dxa"/>
            <w:vAlign w:val="bottom"/>
            <w:shd w:val="clear" w:color="auto" w:fill="CCFFEE"/>
          </w:tcPr>
          <w:p>
            <w:pPr>
              <w:spacing w:after="0"/>
              <w:rPr>
                <w:sz w:val="9"/>
                <w:szCs w:val="9"/>
                <w:color w:val="auto"/>
              </w:rPr>
            </w:pPr>
          </w:p>
        </w:tc>
        <w:tc>
          <w:tcPr>
            <w:tcW w:w="100" w:type="dxa"/>
            <w:vAlign w:val="bottom"/>
            <w:shd w:val="clear" w:color="auto" w:fill="CCFFEE"/>
          </w:tcPr>
          <w:p>
            <w:pPr>
              <w:spacing w:after="0"/>
              <w:rPr>
                <w:sz w:val="9"/>
                <w:szCs w:val="9"/>
                <w:color w:val="auto"/>
              </w:rPr>
            </w:pPr>
          </w:p>
        </w:tc>
        <w:tc>
          <w:tcPr>
            <w:tcW w:w="980" w:type="dxa"/>
            <w:vAlign w:val="bottom"/>
            <w:shd w:val="clear" w:color="auto" w:fill="CCFFEE"/>
          </w:tcPr>
          <w:p>
            <w:pPr>
              <w:spacing w:after="0"/>
              <w:rPr>
                <w:sz w:val="9"/>
                <w:szCs w:val="9"/>
                <w:color w:val="auto"/>
              </w:rPr>
            </w:pPr>
          </w:p>
        </w:tc>
        <w:tc>
          <w:tcPr>
            <w:tcW w:w="860" w:type="dxa"/>
            <w:vAlign w:val="bottom"/>
            <w:shd w:val="clear" w:color="auto" w:fill="CCFFE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8"/>
                <w:szCs w:val="8"/>
                <w:i w:val="1"/>
                <w:iCs w:val="1"/>
                <w:color w:val="auto"/>
              </w:rPr>
              <w:t>Chief Human Resources Officer</w:t>
            </w:r>
          </w:p>
        </w:tc>
        <w:tc>
          <w:tcPr>
            <w:tcW w:w="140" w:type="dxa"/>
            <w:vAlign w:val="bottom"/>
            <w:shd w:val="clear" w:color="auto" w:fill="CCFFEE"/>
          </w:tcPr>
          <w:p>
            <w:pPr>
              <w:spacing w:after="0"/>
              <w:rPr>
                <w:sz w:val="8"/>
                <w:szCs w:val="8"/>
                <w:color w:val="auto"/>
              </w:rPr>
            </w:pPr>
          </w:p>
        </w:tc>
        <w:tc>
          <w:tcPr>
            <w:tcW w:w="50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800" w:type="dxa"/>
            <w:vAlign w:val="bottom"/>
            <w:shd w:val="clear" w:color="auto" w:fill="CCFFEE"/>
          </w:tcPr>
          <w:p>
            <w:pPr>
              <w:spacing w:after="0"/>
              <w:rPr>
                <w:sz w:val="8"/>
                <w:szCs w:val="8"/>
                <w:color w:val="auto"/>
              </w:rPr>
            </w:pPr>
          </w:p>
        </w:tc>
        <w:tc>
          <w:tcPr>
            <w:tcW w:w="700" w:type="dxa"/>
            <w:vAlign w:val="bottom"/>
            <w:shd w:val="clear" w:color="auto" w:fill="CCFFEE"/>
          </w:tcPr>
          <w:p>
            <w:pPr>
              <w:spacing w:after="0"/>
              <w:rPr>
                <w:sz w:val="8"/>
                <w:szCs w:val="8"/>
                <w:color w:val="auto"/>
              </w:rPr>
            </w:pPr>
          </w:p>
        </w:tc>
        <w:tc>
          <w:tcPr>
            <w:tcW w:w="68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740" w:type="dxa"/>
            <w:vAlign w:val="bottom"/>
            <w:shd w:val="clear" w:color="auto" w:fill="CCFFEE"/>
          </w:tcPr>
          <w:p>
            <w:pPr>
              <w:spacing w:after="0"/>
              <w:rPr>
                <w:sz w:val="8"/>
                <w:szCs w:val="8"/>
                <w:color w:val="auto"/>
              </w:rPr>
            </w:pPr>
          </w:p>
        </w:tc>
        <w:tc>
          <w:tcPr>
            <w:tcW w:w="900" w:type="dxa"/>
            <w:vAlign w:val="bottom"/>
            <w:shd w:val="clear" w:color="auto" w:fill="CCFFEE"/>
          </w:tcPr>
          <w:p>
            <w:pPr>
              <w:spacing w:after="0"/>
              <w:rPr>
                <w:sz w:val="8"/>
                <w:szCs w:val="8"/>
                <w:color w:val="auto"/>
              </w:rPr>
            </w:pPr>
          </w:p>
        </w:tc>
        <w:tc>
          <w:tcPr>
            <w:tcW w:w="540" w:type="dxa"/>
            <w:vAlign w:val="bottom"/>
            <w:shd w:val="clear" w:color="auto" w:fill="CCFFEE"/>
          </w:tcPr>
          <w:p>
            <w:pPr>
              <w:spacing w:after="0"/>
              <w:rPr>
                <w:sz w:val="8"/>
                <w:szCs w:val="8"/>
                <w:color w:val="auto"/>
              </w:rPr>
            </w:pPr>
          </w:p>
        </w:tc>
        <w:tc>
          <w:tcPr>
            <w:tcW w:w="100" w:type="dxa"/>
            <w:vAlign w:val="bottom"/>
            <w:shd w:val="clear" w:color="auto" w:fill="CCFFEE"/>
          </w:tcPr>
          <w:p>
            <w:pPr>
              <w:spacing w:after="0"/>
              <w:rPr>
                <w:sz w:val="8"/>
                <w:szCs w:val="8"/>
                <w:color w:val="auto"/>
              </w:rPr>
            </w:pPr>
          </w:p>
        </w:tc>
        <w:tc>
          <w:tcPr>
            <w:tcW w:w="980" w:type="dxa"/>
            <w:vAlign w:val="bottom"/>
            <w:shd w:val="clear" w:color="auto" w:fill="CCFFEE"/>
          </w:tcPr>
          <w:p>
            <w:pPr>
              <w:spacing w:after="0"/>
              <w:rPr>
                <w:sz w:val="8"/>
                <w:szCs w:val="8"/>
                <w:color w:val="auto"/>
              </w:rPr>
            </w:pPr>
          </w:p>
        </w:tc>
        <w:tc>
          <w:tcPr>
            <w:tcW w:w="860" w:type="dxa"/>
            <w:vAlign w:val="bottom"/>
            <w:shd w:val="clear" w:color="auto" w:fill="CCFFE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060" w:type="dxa"/>
            <w:vAlign w:val="bottom"/>
            <w:tcBorders>
              <w:top w:val="single" w:sz="8" w:color="auto"/>
            </w:tcBorders>
            <w:gridSpan w:val="5"/>
            <w:shd w:val="clear" w:color="auto" w:fill="CCFFEE"/>
          </w:tcPr>
          <w:p>
            <w:pPr>
              <w:spacing w:after="0"/>
              <w:rPr>
                <w:sz w:val="20"/>
                <w:szCs w:val="20"/>
                <w:color w:val="auto"/>
              </w:rPr>
            </w:pPr>
            <w:r>
              <w:rPr>
                <w:rFonts w:ascii="Times New Roman" w:cs="Times New Roman" w:eastAsia="Times New Roman" w:hAnsi="Times New Roman"/>
                <w:sz w:val="10"/>
                <w:szCs w:val="10"/>
                <w:color w:val="auto"/>
              </w:rPr>
              <w:t>-Cash Incentive</w:t>
            </w:r>
          </w:p>
        </w:tc>
        <w:tc>
          <w:tcPr>
            <w:tcW w:w="760" w:type="dxa"/>
            <w:vAlign w:val="bottom"/>
            <w:tcBorders>
              <w:top w:val="single" w:sz="8" w:color="CCFFEE"/>
            </w:tcBorders>
            <w:gridSpan w:val="5"/>
            <w:shd w:val="clear" w:color="auto" w:fill="CCFFEE"/>
          </w:tcPr>
          <w:p>
            <w:pPr>
              <w:spacing w:after="0"/>
              <w:rPr>
                <w:sz w:val="10"/>
                <w:szCs w:val="10"/>
                <w:color w:val="auto"/>
              </w:rPr>
            </w:pPr>
          </w:p>
        </w:tc>
        <w:tc>
          <w:tcPr>
            <w:tcW w:w="140" w:type="dxa"/>
            <w:vAlign w:val="bottom"/>
            <w:tcBorders>
              <w:top w:val="single" w:sz="8" w:color="CCFFEE"/>
            </w:tcBorders>
            <w:shd w:val="clear" w:color="auto" w:fill="CCFFEE"/>
          </w:tcPr>
          <w:p>
            <w:pPr>
              <w:spacing w:after="0"/>
              <w:rPr>
                <w:sz w:val="10"/>
                <w:szCs w:val="10"/>
                <w:color w:val="auto"/>
              </w:rPr>
            </w:pPr>
          </w:p>
        </w:tc>
        <w:tc>
          <w:tcPr>
            <w:tcW w:w="500" w:type="dxa"/>
            <w:vAlign w:val="bottom"/>
            <w:tcBorders>
              <w:top w:val="single" w:sz="8" w:color="CCFFEE"/>
            </w:tcBorders>
            <w:shd w:val="clear" w:color="auto" w:fill="CCFFEE"/>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tcBorders>
              <w:top w:val="single" w:sz="8" w:color="CCFFEE"/>
            </w:tcBorders>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56,000</w:t>
            </w:r>
          </w:p>
        </w:tc>
        <w:tc>
          <w:tcPr>
            <w:tcW w:w="700" w:type="dxa"/>
            <w:vAlign w:val="bottom"/>
            <w:tcBorders>
              <w:top w:val="single" w:sz="8" w:color="CCFFEE"/>
            </w:tcBorders>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140,000</w:t>
            </w:r>
          </w:p>
        </w:tc>
        <w:tc>
          <w:tcPr>
            <w:tcW w:w="820" w:type="dxa"/>
            <w:vAlign w:val="bottom"/>
            <w:tcBorders>
              <w:top w:val="single" w:sz="8" w:color="CCFFEE"/>
            </w:tcBorders>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252,000</w:t>
            </w:r>
          </w:p>
        </w:tc>
        <w:tc>
          <w:tcPr>
            <w:tcW w:w="740" w:type="dxa"/>
            <w:vAlign w:val="bottom"/>
            <w:tcBorders>
              <w:top w:val="single" w:sz="8" w:color="CCFFEE"/>
            </w:tcBorders>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top w:val="single" w:sz="8" w:color="CCFFEE"/>
            </w:tcBorders>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FFEE"/>
            </w:tcBorders>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top w:val="single" w:sz="8" w:color="CCFFEE"/>
            </w:tcBorders>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CCFFEE"/>
            </w:tcBorders>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4"/>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-Performance based RSUs</w:t>
            </w:r>
          </w:p>
        </w:tc>
        <w:tc>
          <w:tcPr>
            <w:tcW w:w="140" w:type="dxa"/>
            <w:vAlign w:val="bottom"/>
            <w:shd w:val="clear" w:color="auto" w:fill="CCFFEE"/>
          </w:tcPr>
          <w:p>
            <w:pPr>
              <w:spacing w:after="0"/>
              <w:rPr>
                <w:sz w:val="11"/>
                <w:szCs w:val="11"/>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rPr>
              <w:t>4/1/22</w:t>
            </w:r>
          </w:p>
        </w:tc>
        <w:tc>
          <w:tcPr>
            <w:tcW w:w="940" w:type="dxa"/>
            <w:vAlign w:val="bottom"/>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52"/>
              <w:spacing w:after="0"/>
              <w:rPr>
                <w:sz w:val="20"/>
                <w:szCs w:val="20"/>
                <w:color w:val="auto"/>
              </w:rPr>
            </w:pPr>
            <w:r>
              <w:rPr>
                <w:rFonts w:ascii="Times New Roman" w:cs="Times New Roman" w:eastAsia="Times New Roman" w:hAnsi="Times New Roman"/>
                <w:sz w:val="10"/>
                <w:szCs w:val="10"/>
                <w:color w:val="auto"/>
              </w:rPr>
              <w:t>934</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1,867</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3,734</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70,000</w:t>
            </w:r>
            <w:r>
              <w:rPr>
                <w:rFonts w:ascii="Times New Roman" w:cs="Times New Roman" w:eastAsia="Times New Roman" w:hAnsi="Times New Roman"/>
                <w:sz w:val="7"/>
                <w:szCs w:val="7"/>
                <w:b w:val="1"/>
                <w:bCs w:val="1"/>
                <w:color w:val="auto"/>
              </w:rPr>
              <w:t>(2)</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-Time-based RSUs</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rPr>
              <w:t>4/1/22</w:t>
            </w:r>
          </w:p>
        </w:tc>
        <w:tc>
          <w:tcPr>
            <w:tcW w:w="940" w:type="dxa"/>
            <w:vAlign w:val="bottom"/>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52"/>
              <w:spacing w:after="0"/>
              <w:rPr>
                <w:sz w:val="20"/>
                <w:szCs w:val="20"/>
                <w:color w:val="auto"/>
              </w:rPr>
            </w:pPr>
            <w:r>
              <w:rPr>
                <w:rFonts w:ascii="Times New Roman" w:cs="Times New Roman" w:eastAsia="Times New Roman" w:hAnsi="Times New Roman"/>
                <w:sz w:val="10"/>
                <w:szCs w:val="10"/>
                <w:color w:val="auto"/>
              </w:rPr>
              <w:t>1,867</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1,867</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1,867</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70,000</w:t>
            </w:r>
            <w:r>
              <w:rPr>
                <w:rFonts w:ascii="Times New Roman" w:cs="Times New Roman" w:eastAsia="Times New Roman" w:hAnsi="Times New Roman"/>
                <w:sz w:val="7"/>
                <w:szCs w:val="7"/>
                <w:b w:val="1"/>
                <w:bCs w:val="1"/>
                <w:color w:val="auto"/>
              </w:rPr>
              <w:t>(2)</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820" w:type="dxa"/>
            <w:vAlign w:val="bottom"/>
            <w:gridSpan w:val="10"/>
          </w:tcPr>
          <w:p>
            <w:pPr>
              <w:spacing w:after="0" w:line="114" w:lineRule="exact"/>
              <w:rPr>
                <w:sz w:val="20"/>
                <w:szCs w:val="20"/>
                <w:color w:val="auto"/>
              </w:rPr>
            </w:pPr>
            <w:r>
              <w:rPr>
                <w:rFonts w:ascii="Times New Roman" w:cs="Times New Roman" w:eastAsia="Times New Roman" w:hAnsi="Times New Roman"/>
                <w:sz w:val="10"/>
                <w:szCs w:val="10"/>
                <w:i w:val="1"/>
                <w:iCs w:val="1"/>
                <w:color w:val="auto"/>
              </w:rPr>
              <w:t>Danny Dumas</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20" w:type="dxa"/>
            <w:vAlign w:val="bottom"/>
            <w:gridSpan w:val="10"/>
          </w:tcPr>
          <w:p>
            <w:pPr>
              <w:spacing w:after="0"/>
              <w:rPr>
                <w:sz w:val="20"/>
                <w:szCs w:val="20"/>
                <w:color w:val="auto"/>
              </w:rPr>
            </w:pPr>
            <w:r>
              <w:rPr>
                <w:rFonts w:ascii="Times New Roman" w:cs="Times New Roman" w:eastAsia="Times New Roman" w:hAnsi="Times New Roman"/>
                <w:sz w:val="8"/>
                <w:szCs w:val="8"/>
                <w:i w:val="1"/>
                <w:iCs w:val="1"/>
                <w:color w:val="auto"/>
              </w:rPr>
              <w:t>Sen. Vice President and General Manager of Calavo</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120" w:type="dxa"/>
            <w:vAlign w:val="bottom"/>
            <w:gridSpan w:val="7"/>
          </w:tcPr>
          <w:p>
            <w:pPr>
              <w:spacing w:after="0" w:line="79" w:lineRule="exact"/>
              <w:rPr>
                <w:sz w:val="20"/>
                <w:szCs w:val="20"/>
                <w:color w:val="auto"/>
              </w:rPr>
            </w:pPr>
            <w:r>
              <w:rPr>
                <w:rFonts w:ascii="Times New Roman" w:cs="Times New Roman" w:eastAsia="Times New Roman" w:hAnsi="Times New Roman"/>
                <w:sz w:val="8"/>
                <w:szCs w:val="8"/>
                <w:i w:val="1"/>
                <w:iCs w:val="1"/>
                <w:color w:val="auto"/>
              </w:rPr>
              <w:t>Grown</w:t>
            </w:r>
          </w:p>
        </w:tc>
        <w:tc>
          <w:tcPr>
            <w:tcW w:w="4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-Cash Incentive</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27,667</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69,167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124,500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-Performance based RSUs</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-Time-based RSUs</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4"/>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-Other stock awards</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10"/>
                <w:szCs w:val="10"/>
                <w:color w:val="auto"/>
                <w:w w:val="98"/>
              </w:rPr>
              <w:t>7/11/22</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150,000</w:t>
            </w:r>
            <w:r>
              <w:rPr>
                <w:rFonts w:ascii="Times New Roman" w:cs="Times New Roman" w:eastAsia="Times New Roman" w:hAnsi="Times New Roman"/>
                <w:sz w:val="7"/>
                <w:szCs w:val="7"/>
                <w:b w:val="1"/>
                <w:bCs w:val="1"/>
                <w:color w:val="auto"/>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3,533</w:t>
            </w:r>
            <w:r>
              <w:rPr>
                <w:rFonts w:ascii="Times New Roman" w:cs="Times New Roman" w:eastAsia="Times New Roman" w:hAnsi="Times New Roman"/>
                <w:sz w:val="7"/>
                <w:szCs w:val="7"/>
                <w:b w:val="1"/>
                <w:bCs w:val="1"/>
                <w:color w:val="auto"/>
              </w:rPr>
              <w:t>(5)</w:t>
            </w:r>
          </w:p>
        </w:tc>
        <w:tc>
          <w:tcPr>
            <w:tcW w:w="0" w:type="dxa"/>
            <w:vAlign w:val="bottom"/>
          </w:tcPr>
          <w:p>
            <w:pPr>
              <w:spacing w:after="0"/>
              <w:rPr>
                <w:sz w:val="1"/>
                <w:szCs w:val="1"/>
                <w:color w:val="auto"/>
              </w:rPr>
            </w:pPr>
          </w:p>
        </w:tc>
      </w:tr>
      <w:tr>
        <w:trPr>
          <w:trHeight w:val="113"/>
        </w:trPr>
        <w:tc>
          <w:tcPr>
            <w:tcW w:w="1820" w:type="dxa"/>
            <w:vAlign w:val="bottom"/>
            <w:gridSpan w:val="10"/>
            <w:shd w:val="clear" w:color="auto" w:fill="CCFFEE"/>
          </w:tcPr>
          <w:p>
            <w:pPr>
              <w:spacing w:after="0" w:line="114" w:lineRule="exact"/>
              <w:rPr>
                <w:sz w:val="20"/>
                <w:szCs w:val="20"/>
                <w:color w:val="auto"/>
              </w:rPr>
            </w:pPr>
            <w:r>
              <w:rPr>
                <w:rFonts w:ascii="Times New Roman" w:cs="Times New Roman" w:eastAsia="Times New Roman" w:hAnsi="Times New Roman"/>
                <w:sz w:val="10"/>
                <w:szCs w:val="10"/>
                <w:i w:val="1"/>
                <w:iCs w:val="1"/>
                <w:color w:val="auto"/>
              </w:rPr>
              <w:t>Helen Kurtz</w:t>
            </w:r>
          </w:p>
        </w:tc>
        <w:tc>
          <w:tcPr>
            <w:tcW w:w="140" w:type="dxa"/>
            <w:vAlign w:val="bottom"/>
            <w:shd w:val="clear" w:color="auto" w:fill="CCFFEE"/>
          </w:tcPr>
          <w:p>
            <w:pPr>
              <w:spacing w:after="0"/>
              <w:rPr>
                <w:sz w:val="9"/>
                <w:szCs w:val="9"/>
                <w:color w:val="auto"/>
              </w:rPr>
            </w:pPr>
          </w:p>
        </w:tc>
        <w:tc>
          <w:tcPr>
            <w:tcW w:w="500" w:type="dxa"/>
            <w:vAlign w:val="bottom"/>
            <w:shd w:val="clear" w:color="auto" w:fill="CCFFEE"/>
          </w:tcPr>
          <w:p>
            <w:pPr>
              <w:spacing w:after="0"/>
              <w:rPr>
                <w:sz w:val="9"/>
                <w:szCs w:val="9"/>
                <w:color w:val="auto"/>
              </w:rPr>
            </w:pPr>
          </w:p>
        </w:tc>
        <w:tc>
          <w:tcPr>
            <w:tcW w:w="140" w:type="dxa"/>
            <w:vAlign w:val="bottom"/>
            <w:shd w:val="clear" w:color="auto" w:fill="CCFFEE"/>
          </w:tcPr>
          <w:p>
            <w:pPr>
              <w:spacing w:after="0"/>
              <w:rPr>
                <w:sz w:val="9"/>
                <w:szCs w:val="9"/>
                <w:color w:val="auto"/>
              </w:rPr>
            </w:pPr>
          </w:p>
        </w:tc>
        <w:tc>
          <w:tcPr>
            <w:tcW w:w="800" w:type="dxa"/>
            <w:vAlign w:val="bottom"/>
            <w:shd w:val="clear" w:color="auto" w:fill="CCFFEE"/>
          </w:tcPr>
          <w:p>
            <w:pPr>
              <w:spacing w:after="0"/>
              <w:rPr>
                <w:sz w:val="9"/>
                <w:szCs w:val="9"/>
                <w:color w:val="auto"/>
              </w:rPr>
            </w:pPr>
          </w:p>
        </w:tc>
        <w:tc>
          <w:tcPr>
            <w:tcW w:w="700" w:type="dxa"/>
            <w:vAlign w:val="bottom"/>
            <w:shd w:val="clear" w:color="auto" w:fill="CCFFEE"/>
          </w:tcPr>
          <w:p>
            <w:pPr>
              <w:spacing w:after="0"/>
              <w:rPr>
                <w:sz w:val="9"/>
                <w:szCs w:val="9"/>
                <w:color w:val="auto"/>
              </w:rPr>
            </w:pPr>
          </w:p>
        </w:tc>
        <w:tc>
          <w:tcPr>
            <w:tcW w:w="680" w:type="dxa"/>
            <w:vAlign w:val="bottom"/>
            <w:shd w:val="clear" w:color="auto" w:fill="CCFFEE"/>
          </w:tcPr>
          <w:p>
            <w:pPr>
              <w:spacing w:after="0"/>
              <w:rPr>
                <w:sz w:val="9"/>
                <w:szCs w:val="9"/>
                <w:color w:val="auto"/>
              </w:rPr>
            </w:pPr>
          </w:p>
        </w:tc>
        <w:tc>
          <w:tcPr>
            <w:tcW w:w="140" w:type="dxa"/>
            <w:vAlign w:val="bottom"/>
            <w:shd w:val="clear" w:color="auto" w:fill="CCFFEE"/>
          </w:tcPr>
          <w:p>
            <w:pPr>
              <w:spacing w:after="0"/>
              <w:rPr>
                <w:sz w:val="9"/>
                <w:szCs w:val="9"/>
                <w:color w:val="auto"/>
              </w:rPr>
            </w:pPr>
          </w:p>
        </w:tc>
        <w:tc>
          <w:tcPr>
            <w:tcW w:w="740" w:type="dxa"/>
            <w:vAlign w:val="bottom"/>
            <w:shd w:val="clear" w:color="auto" w:fill="CCFFEE"/>
          </w:tcPr>
          <w:p>
            <w:pPr>
              <w:spacing w:after="0"/>
              <w:rPr>
                <w:sz w:val="9"/>
                <w:szCs w:val="9"/>
                <w:color w:val="auto"/>
              </w:rPr>
            </w:pPr>
          </w:p>
        </w:tc>
        <w:tc>
          <w:tcPr>
            <w:tcW w:w="900" w:type="dxa"/>
            <w:vAlign w:val="bottom"/>
            <w:shd w:val="clear" w:color="auto" w:fill="CCFFEE"/>
          </w:tcPr>
          <w:p>
            <w:pPr>
              <w:spacing w:after="0"/>
              <w:rPr>
                <w:sz w:val="9"/>
                <w:szCs w:val="9"/>
                <w:color w:val="auto"/>
              </w:rPr>
            </w:pPr>
          </w:p>
        </w:tc>
        <w:tc>
          <w:tcPr>
            <w:tcW w:w="540" w:type="dxa"/>
            <w:vAlign w:val="bottom"/>
            <w:shd w:val="clear" w:color="auto" w:fill="CCFFEE"/>
          </w:tcPr>
          <w:p>
            <w:pPr>
              <w:spacing w:after="0"/>
              <w:rPr>
                <w:sz w:val="9"/>
                <w:szCs w:val="9"/>
                <w:color w:val="auto"/>
              </w:rPr>
            </w:pPr>
          </w:p>
        </w:tc>
        <w:tc>
          <w:tcPr>
            <w:tcW w:w="100" w:type="dxa"/>
            <w:vAlign w:val="bottom"/>
            <w:shd w:val="clear" w:color="auto" w:fill="CCFFEE"/>
          </w:tcPr>
          <w:p>
            <w:pPr>
              <w:spacing w:after="0"/>
              <w:rPr>
                <w:sz w:val="9"/>
                <w:szCs w:val="9"/>
                <w:color w:val="auto"/>
              </w:rPr>
            </w:pPr>
          </w:p>
        </w:tc>
        <w:tc>
          <w:tcPr>
            <w:tcW w:w="980" w:type="dxa"/>
            <w:vAlign w:val="bottom"/>
            <w:shd w:val="clear" w:color="auto" w:fill="CCFFEE"/>
          </w:tcPr>
          <w:p>
            <w:pPr>
              <w:spacing w:after="0"/>
              <w:rPr>
                <w:sz w:val="9"/>
                <w:szCs w:val="9"/>
                <w:color w:val="auto"/>
              </w:rPr>
            </w:pPr>
          </w:p>
        </w:tc>
        <w:tc>
          <w:tcPr>
            <w:tcW w:w="860" w:type="dxa"/>
            <w:vAlign w:val="bottom"/>
            <w:shd w:val="clear" w:color="auto" w:fill="CCFFE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8"/>
                <w:szCs w:val="8"/>
                <w:i w:val="1"/>
                <w:iCs w:val="1"/>
                <w:color w:val="auto"/>
              </w:rPr>
              <w:t>Sen. Vice President and General Manager of Calavo</w:t>
            </w:r>
          </w:p>
        </w:tc>
        <w:tc>
          <w:tcPr>
            <w:tcW w:w="140" w:type="dxa"/>
            <w:vAlign w:val="bottom"/>
            <w:shd w:val="clear" w:color="auto" w:fill="CCFFEE"/>
          </w:tcPr>
          <w:p>
            <w:pPr>
              <w:spacing w:after="0"/>
              <w:rPr>
                <w:sz w:val="8"/>
                <w:szCs w:val="8"/>
                <w:color w:val="auto"/>
              </w:rPr>
            </w:pPr>
          </w:p>
        </w:tc>
        <w:tc>
          <w:tcPr>
            <w:tcW w:w="50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800" w:type="dxa"/>
            <w:vAlign w:val="bottom"/>
            <w:shd w:val="clear" w:color="auto" w:fill="CCFFEE"/>
          </w:tcPr>
          <w:p>
            <w:pPr>
              <w:spacing w:after="0"/>
              <w:rPr>
                <w:sz w:val="8"/>
                <w:szCs w:val="8"/>
                <w:color w:val="auto"/>
              </w:rPr>
            </w:pPr>
          </w:p>
        </w:tc>
        <w:tc>
          <w:tcPr>
            <w:tcW w:w="700" w:type="dxa"/>
            <w:vAlign w:val="bottom"/>
            <w:shd w:val="clear" w:color="auto" w:fill="CCFFEE"/>
          </w:tcPr>
          <w:p>
            <w:pPr>
              <w:spacing w:after="0"/>
              <w:rPr>
                <w:sz w:val="8"/>
                <w:szCs w:val="8"/>
                <w:color w:val="auto"/>
              </w:rPr>
            </w:pPr>
          </w:p>
        </w:tc>
        <w:tc>
          <w:tcPr>
            <w:tcW w:w="68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740" w:type="dxa"/>
            <w:vAlign w:val="bottom"/>
            <w:shd w:val="clear" w:color="auto" w:fill="CCFFEE"/>
          </w:tcPr>
          <w:p>
            <w:pPr>
              <w:spacing w:after="0"/>
              <w:rPr>
                <w:sz w:val="8"/>
                <w:szCs w:val="8"/>
                <w:color w:val="auto"/>
              </w:rPr>
            </w:pPr>
          </w:p>
        </w:tc>
        <w:tc>
          <w:tcPr>
            <w:tcW w:w="900" w:type="dxa"/>
            <w:vAlign w:val="bottom"/>
            <w:shd w:val="clear" w:color="auto" w:fill="CCFFEE"/>
          </w:tcPr>
          <w:p>
            <w:pPr>
              <w:spacing w:after="0"/>
              <w:rPr>
                <w:sz w:val="8"/>
                <w:szCs w:val="8"/>
                <w:color w:val="auto"/>
              </w:rPr>
            </w:pPr>
          </w:p>
        </w:tc>
        <w:tc>
          <w:tcPr>
            <w:tcW w:w="540" w:type="dxa"/>
            <w:vAlign w:val="bottom"/>
            <w:shd w:val="clear" w:color="auto" w:fill="CCFFEE"/>
          </w:tcPr>
          <w:p>
            <w:pPr>
              <w:spacing w:after="0"/>
              <w:rPr>
                <w:sz w:val="8"/>
                <w:szCs w:val="8"/>
                <w:color w:val="auto"/>
              </w:rPr>
            </w:pPr>
          </w:p>
        </w:tc>
        <w:tc>
          <w:tcPr>
            <w:tcW w:w="100" w:type="dxa"/>
            <w:vAlign w:val="bottom"/>
            <w:shd w:val="clear" w:color="auto" w:fill="CCFFEE"/>
          </w:tcPr>
          <w:p>
            <w:pPr>
              <w:spacing w:after="0"/>
              <w:rPr>
                <w:sz w:val="8"/>
                <w:szCs w:val="8"/>
                <w:color w:val="auto"/>
              </w:rPr>
            </w:pPr>
          </w:p>
        </w:tc>
        <w:tc>
          <w:tcPr>
            <w:tcW w:w="980" w:type="dxa"/>
            <w:vAlign w:val="bottom"/>
            <w:shd w:val="clear" w:color="auto" w:fill="CCFFEE"/>
          </w:tcPr>
          <w:p>
            <w:pPr>
              <w:spacing w:after="0"/>
              <w:rPr>
                <w:sz w:val="8"/>
                <w:szCs w:val="8"/>
                <w:color w:val="auto"/>
              </w:rPr>
            </w:pPr>
          </w:p>
        </w:tc>
        <w:tc>
          <w:tcPr>
            <w:tcW w:w="860" w:type="dxa"/>
            <w:vAlign w:val="bottom"/>
            <w:shd w:val="clear" w:color="auto" w:fill="CCFFE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120" w:type="dxa"/>
            <w:vAlign w:val="bottom"/>
            <w:tcBorders>
              <w:top w:val="single" w:sz="8" w:color="CCFFEE"/>
            </w:tcBorders>
            <w:gridSpan w:val="7"/>
            <w:shd w:val="clear" w:color="auto" w:fill="CCFFEE"/>
          </w:tcPr>
          <w:p>
            <w:pPr>
              <w:spacing w:after="0" w:line="79" w:lineRule="exact"/>
              <w:rPr>
                <w:sz w:val="20"/>
                <w:szCs w:val="20"/>
                <w:color w:val="auto"/>
              </w:rPr>
            </w:pPr>
            <w:r>
              <w:rPr>
                <w:rFonts w:ascii="Times New Roman" w:cs="Times New Roman" w:eastAsia="Times New Roman" w:hAnsi="Times New Roman"/>
                <w:sz w:val="8"/>
                <w:szCs w:val="8"/>
                <w:i w:val="1"/>
                <w:iCs w:val="1"/>
                <w:color w:val="auto"/>
              </w:rPr>
              <w:t>Prepared</w:t>
            </w:r>
          </w:p>
        </w:tc>
        <w:tc>
          <w:tcPr>
            <w:tcW w:w="480" w:type="dxa"/>
            <w:vAlign w:val="bottom"/>
            <w:tcBorders>
              <w:top w:val="single" w:sz="8" w:color="auto"/>
            </w:tcBorders>
            <w:shd w:val="clear" w:color="auto" w:fill="CCFFEE"/>
          </w:tcPr>
          <w:p>
            <w:pPr>
              <w:spacing w:after="0"/>
              <w:rPr>
                <w:sz w:val="6"/>
                <w:szCs w:val="6"/>
                <w:color w:val="auto"/>
              </w:rPr>
            </w:pPr>
          </w:p>
        </w:tc>
        <w:tc>
          <w:tcPr>
            <w:tcW w:w="160" w:type="dxa"/>
            <w:vAlign w:val="bottom"/>
            <w:tcBorders>
              <w:top w:val="single" w:sz="8" w:color="auto"/>
            </w:tcBorders>
            <w:shd w:val="clear" w:color="auto" w:fill="CCFFEE"/>
          </w:tcPr>
          <w:p>
            <w:pPr>
              <w:spacing w:after="0"/>
              <w:rPr>
                <w:sz w:val="6"/>
                <w:szCs w:val="6"/>
                <w:color w:val="auto"/>
              </w:rPr>
            </w:pPr>
          </w:p>
        </w:tc>
        <w:tc>
          <w:tcPr>
            <w:tcW w:w="60" w:type="dxa"/>
            <w:vAlign w:val="bottom"/>
            <w:tcBorders>
              <w:top w:val="single" w:sz="8" w:color="CCFFEE"/>
            </w:tcBorders>
            <w:shd w:val="clear" w:color="auto" w:fill="CCFFEE"/>
          </w:tcPr>
          <w:p>
            <w:pPr>
              <w:spacing w:after="0"/>
              <w:rPr>
                <w:sz w:val="6"/>
                <w:szCs w:val="6"/>
                <w:color w:val="auto"/>
              </w:rPr>
            </w:pPr>
          </w:p>
        </w:tc>
        <w:tc>
          <w:tcPr>
            <w:tcW w:w="140" w:type="dxa"/>
            <w:vAlign w:val="bottom"/>
            <w:tcBorders>
              <w:top w:val="single" w:sz="8" w:color="CCFFEE"/>
            </w:tcBorders>
            <w:shd w:val="clear" w:color="auto" w:fill="CCFFEE"/>
          </w:tcPr>
          <w:p>
            <w:pPr>
              <w:spacing w:after="0"/>
              <w:rPr>
                <w:sz w:val="6"/>
                <w:szCs w:val="6"/>
                <w:color w:val="auto"/>
              </w:rPr>
            </w:pPr>
          </w:p>
        </w:tc>
        <w:tc>
          <w:tcPr>
            <w:tcW w:w="500" w:type="dxa"/>
            <w:vAlign w:val="bottom"/>
            <w:tcBorders>
              <w:top w:val="single" w:sz="8" w:color="CCFFEE"/>
            </w:tcBorders>
            <w:shd w:val="clear" w:color="auto" w:fill="CCFFEE"/>
          </w:tcPr>
          <w:p>
            <w:pPr>
              <w:spacing w:after="0"/>
              <w:rPr>
                <w:sz w:val="6"/>
                <w:szCs w:val="6"/>
                <w:color w:val="auto"/>
              </w:rPr>
            </w:pPr>
          </w:p>
        </w:tc>
        <w:tc>
          <w:tcPr>
            <w:tcW w:w="140" w:type="dxa"/>
            <w:vAlign w:val="bottom"/>
            <w:tcBorders>
              <w:top w:val="single" w:sz="8" w:color="CCFFEE"/>
            </w:tcBorders>
            <w:shd w:val="clear" w:color="auto" w:fill="CCFFEE"/>
          </w:tcPr>
          <w:p>
            <w:pPr>
              <w:spacing w:after="0"/>
              <w:rPr>
                <w:sz w:val="6"/>
                <w:szCs w:val="6"/>
                <w:color w:val="auto"/>
              </w:rPr>
            </w:pPr>
          </w:p>
        </w:tc>
        <w:tc>
          <w:tcPr>
            <w:tcW w:w="800" w:type="dxa"/>
            <w:vAlign w:val="bottom"/>
            <w:tcBorders>
              <w:top w:val="single" w:sz="8" w:color="CCFFEE"/>
            </w:tcBorders>
            <w:shd w:val="clear" w:color="auto" w:fill="CCFFEE"/>
          </w:tcPr>
          <w:p>
            <w:pPr>
              <w:spacing w:after="0"/>
              <w:rPr>
                <w:sz w:val="6"/>
                <w:szCs w:val="6"/>
                <w:color w:val="auto"/>
              </w:rPr>
            </w:pPr>
          </w:p>
        </w:tc>
        <w:tc>
          <w:tcPr>
            <w:tcW w:w="700" w:type="dxa"/>
            <w:vAlign w:val="bottom"/>
            <w:tcBorders>
              <w:top w:val="single" w:sz="8" w:color="CCFFEE"/>
            </w:tcBorders>
            <w:shd w:val="clear" w:color="auto" w:fill="CCFFEE"/>
          </w:tcPr>
          <w:p>
            <w:pPr>
              <w:spacing w:after="0"/>
              <w:rPr>
                <w:sz w:val="6"/>
                <w:szCs w:val="6"/>
                <w:color w:val="auto"/>
              </w:rPr>
            </w:pPr>
          </w:p>
        </w:tc>
        <w:tc>
          <w:tcPr>
            <w:tcW w:w="680" w:type="dxa"/>
            <w:vAlign w:val="bottom"/>
            <w:tcBorders>
              <w:top w:val="single" w:sz="8" w:color="CCFFEE"/>
            </w:tcBorders>
            <w:shd w:val="clear" w:color="auto" w:fill="CCFFEE"/>
          </w:tcPr>
          <w:p>
            <w:pPr>
              <w:spacing w:after="0"/>
              <w:rPr>
                <w:sz w:val="6"/>
                <w:szCs w:val="6"/>
                <w:color w:val="auto"/>
              </w:rPr>
            </w:pPr>
          </w:p>
        </w:tc>
        <w:tc>
          <w:tcPr>
            <w:tcW w:w="140" w:type="dxa"/>
            <w:vAlign w:val="bottom"/>
            <w:tcBorders>
              <w:top w:val="single" w:sz="8" w:color="CCFFEE"/>
            </w:tcBorders>
            <w:shd w:val="clear" w:color="auto" w:fill="CCFFEE"/>
          </w:tcPr>
          <w:p>
            <w:pPr>
              <w:spacing w:after="0"/>
              <w:rPr>
                <w:sz w:val="6"/>
                <w:szCs w:val="6"/>
                <w:color w:val="auto"/>
              </w:rPr>
            </w:pPr>
          </w:p>
        </w:tc>
        <w:tc>
          <w:tcPr>
            <w:tcW w:w="740" w:type="dxa"/>
            <w:vAlign w:val="bottom"/>
            <w:tcBorders>
              <w:top w:val="single" w:sz="8" w:color="CCFFEE"/>
            </w:tcBorders>
            <w:shd w:val="clear" w:color="auto" w:fill="CCFFEE"/>
          </w:tcPr>
          <w:p>
            <w:pPr>
              <w:spacing w:after="0"/>
              <w:rPr>
                <w:sz w:val="6"/>
                <w:szCs w:val="6"/>
                <w:color w:val="auto"/>
              </w:rPr>
            </w:pPr>
          </w:p>
        </w:tc>
        <w:tc>
          <w:tcPr>
            <w:tcW w:w="900" w:type="dxa"/>
            <w:vAlign w:val="bottom"/>
            <w:tcBorders>
              <w:top w:val="single" w:sz="8" w:color="CCFFEE"/>
            </w:tcBorders>
            <w:shd w:val="clear" w:color="auto" w:fill="CCFFEE"/>
          </w:tcPr>
          <w:p>
            <w:pPr>
              <w:spacing w:after="0"/>
              <w:rPr>
                <w:sz w:val="6"/>
                <w:szCs w:val="6"/>
                <w:color w:val="auto"/>
              </w:rPr>
            </w:pPr>
          </w:p>
        </w:tc>
        <w:tc>
          <w:tcPr>
            <w:tcW w:w="540" w:type="dxa"/>
            <w:vAlign w:val="bottom"/>
            <w:tcBorders>
              <w:top w:val="single" w:sz="8" w:color="CCFFEE"/>
            </w:tcBorders>
            <w:shd w:val="clear" w:color="auto" w:fill="CCFFEE"/>
          </w:tcPr>
          <w:p>
            <w:pPr>
              <w:spacing w:after="0"/>
              <w:rPr>
                <w:sz w:val="6"/>
                <w:szCs w:val="6"/>
                <w:color w:val="auto"/>
              </w:rPr>
            </w:pPr>
          </w:p>
        </w:tc>
        <w:tc>
          <w:tcPr>
            <w:tcW w:w="100" w:type="dxa"/>
            <w:vAlign w:val="bottom"/>
            <w:tcBorders>
              <w:top w:val="single" w:sz="8" w:color="CCFFEE"/>
            </w:tcBorders>
            <w:shd w:val="clear" w:color="auto" w:fill="CCFFEE"/>
          </w:tcPr>
          <w:p>
            <w:pPr>
              <w:spacing w:after="0"/>
              <w:rPr>
                <w:sz w:val="6"/>
                <w:szCs w:val="6"/>
                <w:color w:val="auto"/>
              </w:rPr>
            </w:pPr>
          </w:p>
        </w:tc>
        <w:tc>
          <w:tcPr>
            <w:tcW w:w="980" w:type="dxa"/>
            <w:vAlign w:val="bottom"/>
            <w:tcBorders>
              <w:top w:val="single" w:sz="8" w:color="CCFFEE"/>
            </w:tcBorders>
            <w:shd w:val="clear" w:color="auto" w:fill="CCFFEE"/>
          </w:tcPr>
          <w:p>
            <w:pPr>
              <w:spacing w:after="0"/>
              <w:rPr>
                <w:sz w:val="6"/>
                <w:szCs w:val="6"/>
                <w:color w:val="auto"/>
              </w:rPr>
            </w:pPr>
          </w:p>
        </w:tc>
        <w:tc>
          <w:tcPr>
            <w:tcW w:w="860" w:type="dxa"/>
            <w:vAlign w:val="bottom"/>
            <w:tcBorders>
              <w:top w:val="single" w:sz="8" w:color="CCFFEE"/>
            </w:tcBorders>
            <w:shd w:val="clear" w:color="auto" w:fill="CCFFE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FFEE"/>
          </w:tcPr>
          <w:p>
            <w:pPr>
              <w:spacing w:after="0" w:line="20" w:lineRule="exact"/>
              <w:rPr>
                <w:sz w:val="1"/>
                <w:szCs w:val="1"/>
                <w:color w:val="auto"/>
              </w:rPr>
            </w:pPr>
          </w:p>
        </w:tc>
        <w:tc>
          <w:tcPr>
            <w:tcW w:w="520" w:type="dxa"/>
            <w:vAlign w:val="bottom"/>
            <w:shd w:val="clear" w:color="auto" w:fill="CCFFEE"/>
          </w:tcPr>
          <w:p>
            <w:pPr>
              <w:spacing w:after="0" w:line="20" w:lineRule="exact"/>
              <w:rPr>
                <w:sz w:val="1"/>
                <w:szCs w:val="1"/>
                <w:color w:val="auto"/>
              </w:rPr>
            </w:pPr>
          </w:p>
        </w:tc>
        <w:tc>
          <w:tcPr>
            <w:tcW w:w="160" w:type="dxa"/>
            <w:vAlign w:val="bottom"/>
            <w:shd w:val="clear" w:color="auto" w:fill="CCFFEE"/>
          </w:tcPr>
          <w:p>
            <w:pPr>
              <w:spacing w:after="0" w:line="20" w:lineRule="exact"/>
              <w:rPr>
                <w:sz w:val="1"/>
                <w:szCs w:val="1"/>
                <w:color w:val="auto"/>
              </w:rPr>
            </w:pPr>
          </w:p>
        </w:tc>
        <w:tc>
          <w:tcPr>
            <w:tcW w:w="40" w:type="dxa"/>
            <w:vAlign w:val="bottom"/>
            <w:shd w:val="clear" w:color="auto" w:fill="CCFFEE"/>
          </w:tcPr>
          <w:p>
            <w:pPr>
              <w:spacing w:after="0" w:line="20" w:lineRule="exact"/>
              <w:rPr>
                <w:sz w:val="1"/>
                <w:szCs w:val="1"/>
                <w:color w:val="auto"/>
              </w:rPr>
            </w:pPr>
          </w:p>
        </w:tc>
        <w:tc>
          <w:tcPr>
            <w:tcW w:w="20" w:type="dxa"/>
            <w:vAlign w:val="bottom"/>
            <w:shd w:val="clear" w:color="auto" w:fill="CCFFEE"/>
          </w:tcPr>
          <w:p>
            <w:pPr>
              <w:spacing w:after="0" w:line="20" w:lineRule="exact"/>
              <w:rPr>
                <w:sz w:val="1"/>
                <w:szCs w:val="1"/>
                <w:color w:val="auto"/>
              </w:rPr>
            </w:pPr>
          </w:p>
        </w:tc>
        <w:tc>
          <w:tcPr>
            <w:tcW w:w="480" w:type="dxa"/>
            <w:vAlign w:val="bottom"/>
            <w:shd w:val="clear" w:color="auto" w:fill="CCFFEE"/>
          </w:tcPr>
          <w:p>
            <w:pPr>
              <w:spacing w:after="0" w:line="20" w:lineRule="exact"/>
              <w:rPr>
                <w:sz w:val="1"/>
                <w:szCs w:val="1"/>
                <w:color w:val="auto"/>
              </w:rPr>
            </w:pPr>
          </w:p>
        </w:tc>
        <w:tc>
          <w:tcPr>
            <w:tcW w:w="160" w:type="dxa"/>
            <w:vAlign w:val="bottom"/>
            <w:shd w:val="clear" w:color="auto" w:fill="CCFFEE"/>
          </w:tcPr>
          <w:p>
            <w:pPr>
              <w:spacing w:after="0" w:line="20" w:lineRule="exact"/>
              <w:rPr>
                <w:sz w:val="1"/>
                <w:szCs w:val="1"/>
                <w:color w:val="auto"/>
              </w:rPr>
            </w:pPr>
          </w:p>
        </w:tc>
        <w:tc>
          <w:tcPr>
            <w:tcW w:w="60" w:type="dxa"/>
            <w:vAlign w:val="bottom"/>
            <w:shd w:val="clear" w:color="auto" w:fill="CCFFEE"/>
          </w:tcPr>
          <w:p>
            <w:pPr>
              <w:spacing w:after="0" w:line="20" w:lineRule="exact"/>
              <w:rPr>
                <w:sz w:val="1"/>
                <w:szCs w:val="1"/>
                <w:color w:val="auto"/>
              </w:rPr>
            </w:pPr>
          </w:p>
        </w:tc>
        <w:tc>
          <w:tcPr>
            <w:tcW w:w="140" w:type="dxa"/>
            <w:vAlign w:val="bottom"/>
            <w:shd w:val="clear" w:color="auto" w:fill="CCFFEE"/>
          </w:tcPr>
          <w:p>
            <w:pPr>
              <w:spacing w:after="0" w:line="20" w:lineRule="exact"/>
              <w:rPr>
                <w:sz w:val="1"/>
                <w:szCs w:val="1"/>
                <w:color w:val="auto"/>
              </w:rPr>
            </w:pPr>
          </w:p>
        </w:tc>
        <w:tc>
          <w:tcPr>
            <w:tcW w:w="500" w:type="dxa"/>
            <w:vAlign w:val="bottom"/>
            <w:shd w:val="clear" w:color="auto" w:fill="CCFFEE"/>
          </w:tcPr>
          <w:p>
            <w:pPr>
              <w:spacing w:after="0" w:line="20" w:lineRule="exact"/>
              <w:rPr>
                <w:sz w:val="1"/>
                <w:szCs w:val="1"/>
                <w:color w:val="auto"/>
              </w:rPr>
            </w:pPr>
          </w:p>
        </w:tc>
        <w:tc>
          <w:tcPr>
            <w:tcW w:w="140" w:type="dxa"/>
            <w:vAlign w:val="bottom"/>
            <w:shd w:val="clear" w:color="auto" w:fill="CCFFEE"/>
          </w:tcPr>
          <w:p>
            <w:pPr>
              <w:spacing w:after="0" w:line="20" w:lineRule="exact"/>
              <w:rPr>
                <w:sz w:val="1"/>
                <w:szCs w:val="1"/>
                <w:color w:val="auto"/>
              </w:rPr>
            </w:pPr>
          </w:p>
        </w:tc>
        <w:tc>
          <w:tcPr>
            <w:tcW w:w="800" w:type="dxa"/>
            <w:vAlign w:val="bottom"/>
            <w:shd w:val="clear" w:color="auto" w:fill="CCFFEE"/>
          </w:tcPr>
          <w:p>
            <w:pPr>
              <w:spacing w:after="0" w:line="20" w:lineRule="exact"/>
              <w:rPr>
                <w:sz w:val="1"/>
                <w:szCs w:val="1"/>
                <w:color w:val="auto"/>
              </w:rPr>
            </w:pPr>
          </w:p>
        </w:tc>
        <w:tc>
          <w:tcPr>
            <w:tcW w:w="700" w:type="dxa"/>
            <w:vAlign w:val="bottom"/>
            <w:shd w:val="clear" w:color="auto" w:fill="CCFFEE"/>
          </w:tcPr>
          <w:p>
            <w:pPr>
              <w:spacing w:after="0" w:line="20" w:lineRule="exact"/>
              <w:rPr>
                <w:sz w:val="1"/>
                <w:szCs w:val="1"/>
                <w:color w:val="auto"/>
              </w:rPr>
            </w:pPr>
          </w:p>
        </w:tc>
        <w:tc>
          <w:tcPr>
            <w:tcW w:w="680" w:type="dxa"/>
            <w:vAlign w:val="bottom"/>
            <w:shd w:val="clear" w:color="auto" w:fill="CCFFEE"/>
          </w:tcPr>
          <w:p>
            <w:pPr>
              <w:spacing w:after="0" w:line="20" w:lineRule="exact"/>
              <w:rPr>
                <w:sz w:val="1"/>
                <w:szCs w:val="1"/>
                <w:color w:val="auto"/>
              </w:rPr>
            </w:pPr>
          </w:p>
        </w:tc>
        <w:tc>
          <w:tcPr>
            <w:tcW w:w="140" w:type="dxa"/>
            <w:vAlign w:val="bottom"/>
            <w:shd w:val="clear" w:color="auto" w:fill="CCFFEE"/>
          </w:tcPr>
          <w:p>
            <w:pPr>
              <w:spacing w:after="0" w:line="20" w:lineRule="exact"/>
              <w:rPr>
                <w:sz w:val="1"/>
                <w:szCs w:val="1"/>
                <w:color w:val="auto"/>
              </w:rPr>
            </w:pPr>
          </w:p>
        </w:tc>
        <w:tc>
          <w:tcPr>
            <w:tcW w:w="740" w:type="dxa"/>
            <w:vAlign w:val="bottom"/>
            <w:shd w:val="clear" w:color="auto" w:fill="CCFFEE"/>
          </w:tcPr>
          <w:p>
            <w:pPr>
              <w:spacing w:after="0" w:line="20" w:lineRule="exact"/>
              <w:rPr>
                <w:sz w:val="1"/>
                <w:szCs w:val="1"/>
                <w:color w:val="auto"/>
              </w:rPr>
            </w:pPr>
          </w:p>
        </w:tc>
        <w:tc>
          <w:tcPr>
            <w:tcW w:w="900" w:type="dxa"/>
            <w:vAlign w:val="bottom"/>
            <w:shd w:val="clear" w:color="auto" w:fill="CCFFEE"/>
          </w:tcPr>
          <w:p>
            <w:pPr>
              <w:spacing w:after="0" w:line="20" w:lineRule="exact"/>
              <w:rPr>
                <w:sz w:val="1"/>
                <w:szCs w:val="1"/>
                <w:color w:val="auto"/>
              </w:rPr>
            </w:pPr>
          </w:p>
        </w:tc>
        <w:tc>
          <w:tcPr>
            <w:tcW w:w="540" w:type="dxa"/>
            <w:vAlign w:val="bottom"/>
            <w:shd w:val="clear" w:color="auto" w:fill="CCFFEE"/>
          </w:tcPr>
          <w:p>
            <w:pPr>
              <w:spacing w:after="0" w:line="20" w:lineRule="exact"/>
              <w:rPr>
                <w:sz w:val="1"/>
                <w:szCs w:val="1"/>
                <w:color w:val="auto"/>
              </w:rPr>
            </w:pPr>
          </w:p>
        </w:tc>
        <w:tc>
          <w:tcPr>
            <w:tcW w:w="100" w:type="dxa"/>
            <w:vAlign w:val="bottom"/>
            <w:shd w:val="clear" w:color="auto" w:fill="CCFFEE"/>
          </w:tcPr>
          <w:p>
            <w:pPr>
              <w:spacing w:after="0" w:line="20" w:lineRule="exact"/>
              <w:rPr>
                <w:sz w:val="1"/>
                <w:szCs w:val="1"/>
                <w:color w:val="auto"/>
              </w:rPr>
            </w:pPr>
          </w:p>
        </w:tc>
        <w:tc>
          <w:tcPr>
            <w:tcW w:w="980" w:type="dxa"/>
            <w:vAlign w:val="bottom"/>
            <w:shd w:val="clear" w:color="auto" w:fill="CCFFEE"/>
          </w:tcPr>
          <w:p>
            <w:pPr>
              <w:spacing w:after="0" w:line="20" w:lineRule="exact"/>
              <w:rPr>
                <w:sz w:val="1"/>
                <w:szCs w:val="1"/>
                <w:color w:val="auto"/>
              </w:rPr>
            </w:pPr>
          </w:p>
        </w:tc>
        <w:tc>
          <w:tcPr>
            <w:tcW w:w="860" w:type="dxa"/>
            <w:vAlign w:val="bottom"/>
            <w:shd w:val="clear" w:color="auto" w:fill="CCFF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-Cash Incentive</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15,000</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15,000</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15,000</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-Performance based RSUs</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-Time-based RSUs</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shd w:val="clear" w:color="auto" w:fill="CCFFEE"/>
          </w:tcPr>
          <w:p>
            <w:pPr>
              <w:spacing w:after="0"/>
              <w:rPr>
                <w:sz w:val="10"/>
                <w:szCs w:val="10"/>
                <w:color w:val="auto"/>
              </w:rPr>
            </w:pPr>
          </w:p>
        </w:tc>
        <w:tc>
          <w:tcPr>
            <w:tcW w:w="800" w:type="dxa"/>
            <w:vAlign w:val="bottom"/>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4"/>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-Other stock awards</w:t>
            </w:r>
          </w:p>
        </w:tc>
        <w:tc>
          <w:tcPr>
            <w:tcW w:w="140" w:type="dxa"/>
            <w:vAlign w:val="bottom"/>
            <w:shd w:val="clear" w:color="auto" w:fill="CCFFEE"/>
          </w:tcPr>
          <w:p>
            <w:pPr>
              <w:spacing w:after="0"/>
              <w:rPr>
                <w:sz w:val="11"/>
                <w:szCs w:val="11"/>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w w:val="98"/>
              </w:rPr>
              <w:t>8/16/22</w:t>
            </w:r>
          </w:p>
        </w:tc>
        <w:tc>
          <w:tcPr>
            <w:tcW w:w="140" w:type="dxa"/>
            <w:vAlign w:val="bottom"/>
            <w:shd w:val="clear" w:color="auto" w:fill="CCFFEE"/>
          </w:tcPr>
          <w:p>
            <w:pPr>
              <w:spacing w:after="0"/>
              <w:rPr>
                <w:sz w:val="11"/>
                <w:szCs w:val="11"/>
                <w:color w:val="auto"/>
              </w:rPr>
            </w:pPr>
          </w:p>
        </w:tc>
        <w:tc>
          <w:tcPr>
            <w:tcW w:w="800" w:type="dxa"/>
            <w:vAlign w:val="bottom"/>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300,000</w:t>
            </w:r>
            <w:r>
              <w:rPr>
                <w:rFonts w:ascii="Times New Roman" w:cs="Times New Roman" w:eastAsia="Times New Roman" w:hAnsi="Times New Roman"/>
                <w:sz w:val="7"/>
                <w:szCs w:val="7"/>
                <w:b w:val="1"/>
                <w:bCs w:val="1"/>
                <w:color w:val="auto"/>
              </w:rPr>
              <w:t>(6)</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6,778</w:t>
            </w:r>
            <w:r>
              <w:rPr>
                <w:rFonts w:ascii="Times New Roman" w:cs="Times New Roman" w:eastAsia="Times New Roman" w:hAnsi="Times New Roman"/>
                <w:sz w:val="7"/>
                <w:szCs w:val="7"/>
                <w:b w:val="1"/>
                <w:bCs w:val="1"/>
                <w:color w:val="auto"/>
              </w:rPr>
              <w:t>(6)</w:t>
            </w:r>
          </w:p>
        </w:tc>
        <w:tc>
          <w:tcPr>
            <w:tcW w:w="0" w:type="dxa"/>
            <w:vAlign w:val="bottom"/>
          </w:tcPr>
          <w:p>
            <w:pPr>
              <w:spacing w:after="0"/>
              <w:rPr>
                <w:sz w:val="1"/>
                <w:szCs w:val="1"/>
                <w:color w:val="auto"/>
              </w:rPr>
            </w:pPr>
          </w:p>
        </w:tc>
      </w:tr>
      <w:tr>
        <w:trPr>
          <w:trHeight w:val="113"/>
        </w:trPr>
        <w:tc>
          <w:tcPr>
            <w:tcW w:w="1820" w:type="dxa"/>
            <w:vAlign w:val="bottom"/>
            <w:gridSpan w:val="10"/>
          </w:tcPr>
          <w:p>
            <w:pPr>
              <w:spacing w:after="0" w:line="114" w:lineRule="exact"/>
              <w:rPr>
                <w:sz w:val="20"/>
                <w:szCs w:val="20"/>
                <w:color w:val="auto"/>
              </w:rPr>
            </w:pPr>
            <w:r>
              <w:rPr>
                <w:rFonts w:ascii="Times New Roman" w:cs="Times New Roman" w:eastAsia="Times New Roman" w:hAnsi="Times New Roman"/>
                <w:sz w:val="10"/>
                <w:szCs w:val="10"/>
                <w:i w:val="1"/>
                <w:iCs w:val="1"/>
                <w:color w:val="auto"/>
              </w:rPr>
              <w:t>Robert Wedin</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820" w:type="dxa"/>
            <w:vAlign w:val="bottom"/>
            <w:gridSpan w:val="10"/>
          </w:tcPr>
          <w:p>
            <w:pPr>
              <w:spacing w:after="0"/>
              <w:rPr>
                <w:sz w:val="20"/>
                <w:szCs w:val="20"/>
                <w:color w:val="auto"/>
              </w:rPr>
            </w:pPr>
            <w:r>
              <w:rPr>
                <w:rFonts w:ascii="Times New Roman" w:cs="Times New Roman" w:eastAsia="Times New Roman" w:hAnsi="Times New Roman"/>
                <w:sz w:val="8"/>
                <w:szCs w:val="8"/>
                <w:i w:val="1"/>
                <w:iCs w:val="1"/>
                <w:color w:val="auto"/>
              </w:rPr>
              <w:t xml:space="preserve">Executive </w:t>
            </w:r>
            <w:r>
              <w:rPr>
                <w:rFonts w:ascii="Times New Roman" w:cs="Times New Roman" w:eastAsia="Times New Roman" w:hAnsi="Times New Roman"/>
                <w:sz w:val="8"/>
                <w:szCs w:val="8"/>
                <w:color w:val="auto"/>
              </w:rPr>
              <w:t>Vice President,</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20" w:type="dxa"/>
            <w:vAlign w:val="bottom"/>
            <w:gridSpan w:val="10"/>
          </w:tcPr>
          <w:p>
            <w:pPr>
              <w:spacing w:after="0"/>
              <w:rPr>
                <w:sz w:val="20"/>
                <w:szCs w:val="20"/>
                <w:color w:val="auto"/>
              </w:rPr>
            </w:pPr>
            <w:r>
              <w:rPr>
                <w:rFonts w:ascii="Times New Roman" w:cs="Times New Roman" w:eastAsia="Times New Roman" w:hAnsi="Times New Roman"/>
                <w:sz w:val="8"/>
                <w:szCs w:val="8"/>
                <w:color w:val="auto"/>
              </w:rPr>
              <w:t>Fresh Sales</w:t>
            </w: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gridSpan w:val="3"/>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-Cash Incentive</w:t>
            </w:r>
          </w:p>
        </w:tc>
        <w:tc>
          <w:tcPr>
            <w:tcW w:w="640" w:type="dxa"/>
            <w:vAlign w:val="bottom"/>
            <w:gridSpan w:val="2"/>
          </w:tcPr>
          <w:p>
            <w:pPr>
              <w:jc w:val="center"/>
              <w:ind w:left="97"/>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86,000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387,000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-Performance based RSUs</w:t>
            </w:r>
          </w:p>
        </w:tc>
        <w:tc>
          <w:tcPr>
            <w:tcW w:w="1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0"/>
        </w:trPr>
        <w:tc>
          <w:tcPr>
            <w:tcW w:w="1820" w:type="dxa"/>
            <w:vAlign w:val="bottom"/>
            <w:gridSpan w:val="10"/>
          </w:tcPr>
          <w:p>
            <w:pPr>
              <w:spacing w:after="0"/>
              <w:rPr>
                <w:sz w:val="20"/>
                <w:szCs w:val="20"/>
                <w:color w:val="auto"/>
              </w:rPr>
            </w:pPr>
            <w:r>
              <w:rPr>
                <w:rFonts w:ascii="Times New Roman" w:cs="Times New Roman" w:eastAsia="Times New Roman" w:hAnsi="Times New Roman"/>
                <w:sz w:val="10"/>
                <w:szCs w:val="10"/>
                <w:color w:val="auto"/>
              </w:rPr>
              <w:t>-Time-based RSUs</w:t>
            </w:r>
          </w:p>
        </w:tc>
        <w:tc>
          <w:tcPr>
            <w:tcW w:w="14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N/A</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N/A</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7"/>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i w:val="1"/>
                <w:iCs w:val="1"/>
                <w:color w:val="auto"/>
              </w:rPr>
              <w:t>Ronald Araiza</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800" w:type="dxa"/>
            <w:vAlign w:val="bottom"/>
            <w:shd w:val="clear" w:color="auto" w:fill="CCFFEE"/>
          </w:tcPr>
          <w:p>
            <w:pPr>
              <w:spacing w:after="0"/>
              <w:rPr>
                <w:sz w:val="10"/>
                <w:szCs w:val="10"/>
                <w:color w:val="auto"/>
              </w:rPr>
            </w:pPr>
          </w:p>
        </w:tc>
        <w:tc>
          <w:tcPr>
            <w:tcW w:w="700" w:type="dxa"/>
            <w:vAlign w:val="bottom"/>
            <w:shd w:val="clear" w:color="auto" w:fill="CCFFEE"/>
          </w:tcPr>
          <w:p>
            <w:pPr>
              <w:spacing w:after="0"/>
              <w:rPr>
                <w:sz w:val="10"/>
                <w:szCs w:val="10"/>
                <w:color w:val="auto"/>
              </w:rPr>
            </w:pPr>
          </w:p>
        </w:tc>
        <w:tc>
          <w:tcPr>
            <w:tcW w:w="680" w:type="dxa"/>
            <w:vAlign w:val="bottom"/>
            <w:shd w:val="clear" w:color="auto" w:fill="CCFFEE"/>
          </w:tcPr>
          <w:p>
            <w:pPr>
              <w:spacing w:after="0"/>
              <w:rPr>
                <w:sz w:val="10"/>
                <w:szCs w:val="10"/>
                <w:color w:val="auto"/>
              </w:rPr>
            </w:pPr>
          </w:p>
        </w:tc>
        <w:tc>
          <w:tcPr>
            <w:tcW w:w="140" w:type="dxa"/>
            <w:vAlign w:val="bottom"/>
            <w:shd w:val="clear" w:color="auto" w:fill="CCFFEE"/>
          </w:tcPr>
          <w:p>
            <w:pPr>
              <w:spacing w:after="0"/>
              <w:rPr>
                <w:sz w:val="10"/>
                <w:szCs w:val="10"/>
                <w:color w:val="auto"/>
              </w:rPr>
            </w:pPr>
          </w:p>
        </w:tc>
        <w:tc>
          <w:tcPr>
            <w:tcW w:w="740" w:type="dxa"/>
            <w:vAlign w:val="bottom"/>
            <w:shd w:val="clear" w:color="auto" w:fill="CCFFEE"/>
          </w:tcPr>
          <w:p>
            <w:pPr>
              <w:spacing w:after="0"/>
              <w:rPr>
                <w:sz w:val="10"/>
                <w:szCs w:val="10"/>
                <w:color w:val="auto"/>
              </w:rPr>
            </w:pPr>
          </w:p>
        </w:tc>
        <w:tc>
          <w:tcPr>
            <w:tcW w:w="900" w:type="dxa"/>
            <w:vAlign w:val="bottom"/>
            <w:shd w:val="clear" w:color="auto" w:fill="CCFFEE"/>
          </w:tcPr>
          <w:p>
            <w:pPr>
              <w:spacing w:after="0"/>
              <w:rPr>
                <w:sz w:val="10"/>
                <w:szCs w:val="10"/>
                <w:color w:val="auto"/>
              </w:rPr>
            </w:pPr>
          </w:p>
        </w:tc>
        <w:tc>
          <w:tcPr>
            <w:tcW w:w="540" w:type="dxa"/>
            <w:vAlign w:val="bottom"/>
            <w:shd w:val="clear" w:color="auto" w:fill="CCFFEE"/>
          </w:tcPr>
          <w:p>
            <w:pPr>
              <w:spacing w:after="0"/>
              <w:rPr>
                <w:sz w:val="10"/>
                <w:szCs w:val="10"/>
                <w:color w:val="auto"/>
              </w:rPr>
            </w:pPr>
          </w:p>
        </w:tc>
        <w:tc>
          <w:tcPr>
            <w:tcW w:w="100" w:type="dxa"/>
            <w:vAlign w:val="bottom"/>
            <w:shd w:val="clear" w:color="auto" w:fill="CCFFEE"/>
          </w:tcPr>
          <w:p>
            <w:pPr>
              <w:spacing w:after="0"/>
              <w:rPr>
                <w:sz w:val="10"/>
                <w:szCs w:val="10"/>
                <w:color w:val="auto"/>
              </w:rPr>
            </w:pPr>
          </w:p>
        </w:tc>
        <w:tc>
          <w:tcPr>
            <w:tcW w:w="980" w:type="dxa"/>
            <w:vAlign w:val="bottom"/>
            <w:shd w:val="clear" w:color="auto" w:fill="CCFFEE"/>
          </w:tcPr>
          <w:p>
            <w:pPr>
              <w:spacing w:after="0"/>
              <w:rPr>
                <w:sz w:val="10"/>
                <w:szCs w:val="10"/>
                <w:color w:val="auto"/>
              </w:rPr>
            </w:pPr>
          </w:p>
        </w:tc>
        <w:tc>
          <w:tcPr>
            <w:tcW w:w="860" w:type="dxa"/>
            <w:vAlign w:val="bottom"/>
            <w:shd w:val="clear" w:color="auto" w:fill="CCFF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8"/>
                <w:szCs w:val="8"/>
                <w:i w:val="1"/>
                <w:iCs w:val="1"/>
                <w:color w:val="auto"/>
              </w:rPr>
              <w:t xml:space="preserve">Executive </w:t>
            </w:r>
            <w:r>
              <w:rPr>
                <w:rFonts w:ascii="Times New Roman" w:cs="Times New Roman" w:eastAsia="Times New Roman" w:hAnsi="Times New Roman"/>
                <w:sz w:val="8"/>
                <w:szCs w:val="8"/>
                <w:color w:val="auto"/>
              </w:rPr>
              <w:t>Vice President, Foods and RFG Sales</w:t>
            </w:r>
          </w:p>
        </w:tc>
        <w:tc>
          <w:tcPr>
            <w:tcW w:w="140" w:type="dxa"/>
            <w:vAlign w:val="bottom"/>
            <w:shd w:val="clear" w:color="auto" w:fill="CCFFEE"/>
          </w:tcPr>
          <w:p>
            <w:pPr>
              <w:spacing w:after="0"/>
              <w:rPr>
                <w:sz w:val="8"/>
                <w:szCs w:val="8"/>
                <w:color w:val="auto"/>
              </w:rPr>
            </w:pPr>
          </w:p>
        </w:tc>
        <w:tc>
          <w:tcPr>
            <w:tcW w:w="50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800" w:type="dxa"/>
            <w:vAlign w:val="bottom"/>
            <w:shd w:val="clear" w:color="auto" w:fill="CCFFEE"/>
          </w:tcPr>
          <w:p>
            <w:pPr>
              <w:spacing w:after="0"/>
              <w:rPr>
                <w:sz w:val="8"/>
                <w:szCs w:val="8"/>
                <w:color w:val="auto"/>
              </w:rPr>
            </w:pPr>
          </w:p>
        </w:tc>
        <w:tc>
          <w:tcPr>
            <w:tcW w:w="700" w:type="dxa"/>
            <w:vAlign w:val="bottom"/>
            <w:shd w:val="clear" w:color="auto" w:fill="CCFFEE"/>
          </w:tcPr>
          <w:p>
            <w:pPr>
              <w:spacing w:after="0"/>
              <w:rPr>
                <w:sz w:val="8"/>
                <w:szCs w:val="8"/>
                <w:color w:val="auto"/>
              </w:rPr>
            </w:pPr>
          </w:p>
        </w:tc>
        <w:tc>
          <w:tcPr>
            <w:tcW w:w="680" w:type="dxa"/>
            <w:vAlign w:val="bottom"/>
            <w:shd w:val="clear" w:color="auto" w:fill="CCFFEE"/>
          </w:tcPr>
          <w:p>
            <w:pPr>
              <w:spacing w:after="0"/>
              <w:rPr>
                <w:sz w:val="8"/>
                <w:szCs w:val="8"/>
                <w:color w:val="auto"/>
              </w:rPr>
            </w:pPr>
          </w:p>
        </w:tc>
        <w:tc>
          <w:tcPr>
            <w:tcW w:w="140" w:type="dxa"/>
            <w:vAlign w:val="bottom"/>
            <w:shd w:val="clear" w:color="auto" w:fill="CCFFEE"/>
          </w:tcPr>
          <w:p>
            <w:pPr>
              <w:spacing w:after="0"/>
              <w:rPr>
                <w:sz w:val="8"/>
                <w:szCs w:val="8"/>
                <w:color w:val="auto"/>
              </w:rPr>
            </w:pPr>
          </w:p>
        </w:tc>
        <w:tc>
          <w:tcPr>
            <w:tcW w:w="740" w:type="dxa"/>
            <w:vAlign w:val="bottom"/>
            <w:shd w:val="clear" w:color="auto" w:fill="CCFFEE"/>
          </w:tcPr>
          <w:p>
            <w:pPr>
              <w:spacing w:after="0"/>
              <w:rPr>
                <w:sz w:val="8"/>
                <w:szCs w:val="8"/>
                <w:color w:val="auto"/>
              </w:rPr>
            </w:pPr>
          </w:p>
        </w:tc>
        <w:tc>
          <w:tcPr>
            <w:tcW w:w="900" w:type="dxa"/>
            <w:vAlign w:val="bottom"/>
            <w:shd w:val="clear" w:color="auto" w:fill="CCFFEE"/>
          </w:tcPr>
          <w:p>
            <w:pPr>
              <w:spacing w:after="0"/>
              <w:rPr>
                <w:sz w:val="8"/>
                <w:szCs w:val="8"/>
                <w:color w:val="auto"/>
              </w:rPr>
            </w:pPr>
          </w:p>
        </w:tc>
        <w:tc>
          <w:tcPr>
            <w:tcW w:w="540" w:type="dxa"/>
            <w:vAlign w:val="bottom"/>
            <w:shd w:val="clear" w:color="auto" w:fill="CCFFEE"/>
          </w:tcPr>
          <w:p>
            <w:pPr>
              <w:spacing w:after="0"/>
              <w:rPr>
                <w:sz w:val="8"/>
                <w:szCs w:val="8"/>
                <w:color w:val="auto"/>
              </w:rPr>
            </w:pPr>
          </w:p>
        </w:tc>
        <w:tc>
          <w:tcPr>
            <w:tcW w:w="100" w:type="dxa"/>
            <w:vAlign w:val="bottom"/>
            <w:shd w:val="clear" w:color="auto" w:fill="CCFFEE"/>
          </w:tcPr>
          <w:p>
            <w:pPr>
              <w:spacing w:after="0"/>
              <w:rPr>
                <w:sz w:val="8"/>
                <w:szCs w:val="8"/>
                <w:color w:val="auto"/>
              </w:rPr>
            </w:pPr>
          </w:p>
        </w:tc>
        <w:tc>
          <w:tcPr>
            <w:tcW w:w="980" w:type="dxa"/>
            <w:vAlign w:val="bottom"/>
            <w:shd w:val="clear" w:color="auto" w:fill="CCFFEE"/>
          </w:tcPr>
          <w:p>
            <w:pPr>
              <w:spacing w:after="0"/>
              <w:rPr>
                <w:sz w:val="8"/>
                <w:szCs w:val="8"/>
                <w:color w:val="auto"/>
              </w:rPr>
            </w:pPr>
          </w:p>
        </w:tc>
        <w:tc>
          <w:tcPr>
            <w:tcW w:w="860" w:type="dxa"/>
            <w:vAlign w:val="bottom"/>
            <w:shd w:val="clear" w:color="auto" w:fill="CCFFE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00" w:type="dxa"/>
            <w:vAlign w:val="bottom"/>
            <w:tcBorders>
              <w:top w:val="single" w:sz="8" w:color="CCFFEE"/>
            </w:tcBorders>
            <w:gridSpan w:val="6"/>
            <w:shd w:val="clear" w:color="auto" w:fill="CCFFEE"/>
          </w:tcPr>
          <w:p>
            <w:pPr>
              <w:spacing w:after="0"/>
              <w:rPr>
                <w:sz w:val="20"/>
                <w:szCs w:val="20"/>
                <w:color w:val="auto"/>
              </w:rPr>
            </w:pPr>
            <w:r>
              <w:rPr>
                <w:rFonts w:ascii="Times New Roman" w:cs="Times New Roman" w:eastAsia="Times New Roman" w:hAnsi="Times New Roman"/>
                <w:sz w:val="10"/>
                <w:szCs w:val="10"/>
                <w:color w:val="auto"/>
              </w:rPr>
              <w:t>-Cash Incentive</w:t>
            </w:r>
          </w:p>
        </w:tc>
        <w:tc>
          <w:tcPr>
            <w:tcW w:w="500" w:type="dxa"/>
            <w:vAlign w:val="bottom"/>
            <w:tcBorders>
              <w:top w:val="single" w:sz="8" w:color="auto"/>
            </w:tcBorders>
            <w:gridSpan w:val="2"/>
            <w:shd w:val="clear" w:color="auto" w:fill="CCFFEE"/>
          </w:tcPr>
          <w:p>
            <w:pPr>
              <w:spacing w:after="0"/>
              <w:rPr>
                <w:sz w:val="10"/>
                <w:szCs w:val="10"/>
                <w:color w:val="auto"/>
              </w:rPr>
            </w:pPr>
          </w:p>
        </w:tc>
        <w:tc>
          <w:tcPr>
            <w:tcW w:w="220" w:type="dxa"/>
            <w:vAlign w:val="bottom"/>
            <w:tcBorders>
              <w:top w:val="single" w:sz="8" w:color="CCFFEE"/>
            </w:tcBorders>
            <w:gridSpan w:val="2"/>
            <w:shd w:val="clear" w:color="auto" w:fill="CCFFEE"/>
          </w:tcPr>
          <w:p>
            <w:pPr>
              <w:spacing w:after="0"/>
              <w:rPr>
                <w:sz w:val="10"/>
                <w:szCs w:val="10"/>
                <w:color w:val="auto"/>
              </w:rPr>
            </w:pPr>
          </w:p>
        </w:tc>
        <w:tc>
          <w:tcPr>
            <w:tcW w:w="140" w:type="dxa"/>
            <w:vAlign w:val="bottom"/>
            <w:tcBorders>
              <w:top w:val="single" w:sz="8" w:color="CCFFEE"/>
            </w:tcBorders>
            <w:shd w:val="clear" w:color="auto" w:fill="CCFFEE"/>
          </w:tcPr>
          <w:p>
            <w:pPr>
              <w:spacing w:after="0"/>
              <w:rPr>
                <w:sz w:val="10"/>
                <w:szCs w:val="10"/>
                <w:color w:val="auto"/>
              </w:rPr>
            </w:pPr>
          </w:p>
        </w:tc>
        <w:tc>
          <w:tcPr>
            <w:tcW w:w="500" w:type="dxa"/>
            <w:vAlign w:val="bottom"/>
            <w:tcBorders>
              <w:top w:val="single" w:sz="8" w:color="CCFFEE"/>
            </w:tcBorders>
            <w:shd w:val="clear" w:color="auto" w:fill="CCFFEE"/>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tcBorders>
              <w:top w:val="single" w:sz="8" w:color="CCFFEE"/>
            </w:tcBorders>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68,800</w:t>
            </w:r>
          </w:p>
        </w:tc>
        <w:tc>
          <w:tcPr>
            <w:tcW w:w="700" w:type="dxa"/>
            <w:vAlign w:val="bottom"/>
            <w:tcBorders>
              <w:top w:val="single" w:sz="8" w:color="CCFFEE"/>
            </w:tcBorders>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172,000</w:t>
            </w:r>
          </w:p>
        </w:tc>
        <w:tc>
          <w:tcPr>
            <w:tcW w:w="820" w:type="dxa"/>
            <w:vAlign w:val="bottom"/>
            <w:tcBorders>
              <w:top w:val="single" w:sz="8" w:color="CCFFEE"/>
            </w:tcBorders>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309,600</w:t>
            </w:r>
          </w:p>
        </w:tc>
        <w:tc>
          <w:tcPr>
            <w:tcW w:w="740" w:type="dxa"/>
            <w:vAlign w:val="bottom"/>
            <w:tcBorders>
              <w:top w:val="single" w:sz="8" w:color="CCFFEE"/>
            </w:tcBorders>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top w:val="single" w:sz="8" w:color="CCFFEE"/>
            </w:tcBorders>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CCFFEE"/>
            </w:tcBorders>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top w:val="single" w:sz="8" w:color="CCFFEE"/>
            </w:tcBorders>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CCFFEE"/>
            </w:tcBorders>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4"/>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-Performance based RSUs</w:t>
            </w:r>
          </w:p>
        </w:tc>
        <w:tc>
          <w:tcPr>
            <w:tcW w:w="140" w:type="dxa"/>
            <w:vAlign w:val="bottom"/>
            <w:shd w:val="clear" w:color="auto" w:fill="CCFFEE"/>
          </w:tcPr>
          <w:p>
            <w:pPr>
              <w:spacing w:after="0"/>
              <w:rPr>
                <w:sz w:val="11"/>
                <w:szCs w:val="11"/>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rPr>
              <w:t>4/1/22</w:t>
            </w:r>
          </w:p>
        </w:tc>
        <w:tc>
          <w:tcPr>
            <w:tcW w:w="940" w:type="dxa"/>
            <w:vAlign w:val="bottom"/>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1,147</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2,294</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4,588</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86,000</w:t>
            </w:r>
            <w:r>
              <w:rPr>
                <w:rFonts w:ascii="Times New Roman" w:cs="Times New Roman" w:eastAsia="Times New Roman" w:hAnsi="Times New Roman"/>
                <w:sz w:val="7"/>
                <w:szCs w:val="7"/>
                <w:b w:val="1"/>
                <w:bCs w:val="1"/>
                <w:color w:val="auto"/>
              </w:rPr>
              <w:t>(2)</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1820" w:type="dxa"/>
            <w:vAlign w:val="bottom"/>
            <w:gridSpan w:val="10"/>
            <w:shd w:val="clear" w:color="auto" w:fill="CCFFEE"/>
          </w:tcPr>
          <w:p>
            <w:pPr>
              <w:spacing w:after="0"/>
              <w:rPr>
                <w:sz w:val="20"/>
                <w:szCs w:val="20"/>
                <w:color w:val="auto"/>
              </w:rPr>
            </w:pPr>
            <w:r>
              <w:rPr>
                <w:rFonts w:ascii="Times New Roman" w:cs="Times New Roman" w:eastAsia="Times New Roman" w:hAnsi="Times New Roman"/>
                <w:sz w:val="10"/>
                <w:szCs w:val="10"/>
                <w:color w:val="auto"/>
              </w:rPr>
              <w:t>-Time-based RSUs</w:t>
            </w:r>
          </w:p>
        </w:tc>
        <w:tc>
          <w:tcPr>
            <w:tcW w:w="140" w:type="dxa"/>
            <w:vAlign w:val="bottom"/>
            <w:shd w:val="clear" w:color="auto" w:fill="CCFFEE"/>
          </w:tcPr>
          <w:p>
            <w:pPr>
              <w:spacing w:after="0"/>
              <w:rPr>
                <w:sz w:val="10"/>
                <w:szCs w:val="10"/>
                <w:color w:val="auto"/>
              </w:rPr>
            </w:pPr>
          </w:p>
        </w:tc>
        <w:tc>
          <w:tcPr>
            <w:tcW w:w="500" w:type="dxa"/>
            <w:vAlign w:val="bottom"/>
            <w:shd w:val="clear" w:color="auto" w:fill="CCFFEE"/>
          </w:tcPr>
          <w:p>
            <w:pPr>
              <w:jc w:val="center"/>
              <w:spacing w:after="0"/>
              <w:rPr>
                <w:sz w:val="20"/>
                <w:szCs w:val="20"/>
                <w:color w:val="auto"/>
              </w:rPr>
            </w:pPr>
            <w:r>
              <w:rPr>
                <w:rFonts w:ascii="Times New Roman" w:cs="Times New Roman" w:eastAsia="Times New Roman" w:hAnsi="Times New Roman"/>
                <w:sz w:val="10"/>
                <w:szCs w:val="10"/>
                <w:color w:val="auto"/>
              </w:rPr>
              <w:t>4/1/22</w:t>
            </w:r>
          </w:p>
        </w:tc>
        <w:tc>
          <w:tcPr>
            <w:tcW w:w="940" w:type="dxa"/>
            <w:vAlign w:val="bottom"/>
            <w:gridSpan w:val="2"/>
            <w:shd w:val="clear" w:color="auto" w:fill="CCFFEE"/>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FFEE"/>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FFEE"/>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FFEE"/>
          </w:tcPr>
          <w:p>
            <w:pPr>
              <w:jc w:val="right"/>
              <w:ind w:right="32"/>
              <w:spacing w:after="0"/>
              <w:rPr>
                <w:sz w:val="20"/>
                <w:szCs w:val="20"/>
                <w:color w:val="auto"/>
              </w:rPr>
            </w:pPr>
            <w:r>
              <w:rPr>
                <w:rFonts w:ascii="Times New Roman" w:cs="Times New Roman" w:eastAsia="Times New Roman" w:hAnsi="Times New Roman"/>
                <w:sz w:val="10"/>
                <w:szCs w:val="10"/>
                <w:color w:val="auto"/>
              </w:rPr>
              <w:t>2,294</w:t>
            </w:r>
          </w:p>
        </w:tc>
        <w:tc>
          <w:tcPr>
            <w:tcW w:w="900" w:type="dxa"/>
            <w:vAlign w:val="bottom"/>
            <w:shd w:val="clear" w:color="auto" w:fill="CCFFEE"/>
          </w:tcPr>
          <w:p>
            <w:pPr>
              <w:jc w:val="right"/>
              <w:ind w:right="232"/>
              <w:spacing w:after="0"/>
              <w:rPr>
                <w:sz w:val="20"/>
                <w:szCs w:val="20"/>
                <w:color w:val="auto"/>
              </w:rPr>
            </w:pPr>
            <w:r>
              <w:rPr>
                <w:rFonts w:ascii="Times New Roman" w:cs="Times New Roman" w:eastAsia="Times New Roman" w:hAnsi="Times New Roman"/>
                <w:sz w:val="10"/>
                <w:szCs w:val="10"/>
                <w:color w:val="auto"/>
              </w:rPr>
              <w:t>2,294</w:t>
            </w:r>
          </w:p>
        </w:tc>
        <w:tc>
          <w:tcPr>
            <w:tcW w:w="640" w:type="dxa"/>
            <w:vAlign w:val="bottom"/>
            <w:gridSpan w:val="2"/>
            <w:shd w:val="clear" w:color="auto" w:fill="CCFFEE"/>
          </w:tcPr>
          <w:p>
            <w:pPr>
              <w:jc w:val="right"/>
              <w:ind w:right="100"/>
              <w:spacing w:after="0"/>
              <w:rPr>
                <w:sz w:val="20"/>
                <w:szCs w:val="20"/>
                <w:color w:val="auto"/>
              </w:rPr>
            </w:pPr>
            <w:r>
              <w:rPr>
                <w:rFonts w:ascii="Times New Roman" w:cs="Times New Roman" w:eastAsia="Times New Roman" w:hAnsi="Times New Roman"/>
                <w:sz w:val="10"/>
                <w:szCs w:val="10"/>
                <w:color w:val="auto"/>
              </w:rPr>
              <w:t>2,294</w:t>
            </w:r>
          </w:p>
        </w:tc>
        <w:tc>
          <w:tcPr>
            <w:tcW w:w="980" w:type="dxa"/>
            <w:vAlign w:val="bottom"/>
            <w:shd w:val="clear" w:color="auto" w:fill="CCFFEE"/>
          </w:tcPr>
          <w:p>
            <w:pPr>
              <w:jc w:val="right"/>
              <w:ind w:right="132"/>
              <w:spacing w:after="0"/>
              <w:rPr>
                <w:sz w:val="20"/>
                <w:szCs w:val="20"/>
                <w:color w:val="auto"/>
              </w:rPr>
            </w:pPr>
            <w:r>
              <w:rPr>
                <w:rFonts w:ascii="Times New Roman" w:cs="Times New Roman" w:eastAsia="Times New Roman" w:hAnsi="Times New Roman"/>
                <w:sz w:val="10"/>
                <w:szCs w:val="10"/>
                <w:color w:val="auto"/>
              </w:rPr>
              <w:t>86,000</w:t>
            </w:r>
            <w:r>
              <w:rPr>
                <w:rFonts w:ascii="Times New Roman" w:cs="Times New Roman" w:eastAsia="Times New Roman" w:hAnsi="Times New Roman"/>
                <w:sz w:val="7"/>
                <w:szCs w:val="7"/>
                <w:b w:val="1"/>
                <w:bCs w:val="1"/>
                <w:color w:val="auto"/>
              </w:rPr>
              <w:t>(2)</w:t>
            </w:r>
          </w:p>
        </w:tc>
        <w:tc>
          <w:tcPr>
            <w:tcW w:w="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125730</wp:posOffset>
            </wp:positionV>
            <wp:extent cx="14287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39" w:lineRule="exact"/>
        <w:rPr>
          <w:sz w:val="20"/>
          <w:szCs w:val="20"/>
          <w:color w:val="auto"/>
        </w:rPr>
      </w:pPr>
    </w:p>
    <w:p>
      <w:pPr>
        <w:ind w:left="260" w:right="100" w:hanging="225"/>
        <w:spacing w:after="0" w:line="220" w:lineRule="auto"/>
        <w:tabs>
          <w:tab w:leader="none" w:pos="26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amounts set forth above reflect the threshold amount, the target amount and the maximum amount that each of our named executive officers could have earned under our performance-based bonus plan for services performed in fiscal 2022 if Calavo had attained the respective Adjusted EBITDA levels discussed above under Compensation Discussion and Analysis.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239395</wp:posOffset>
            </wp:positionV>
            <wp:extent cx="57035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40"/>
          </w:cols>
          <w:pgMar w:left="1420" w:top="489" w:right="14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40" w:right="119" w:hanging="225"/>
        <w:spacing w:after="0" w:line="226" w:lineRule="auto"/>
        <w:tabs>
          <w:tab w:leader="none" w:pos="24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April 1, 2022, as part of the LTIP (time-based and performance based), Brian Kocher, Graciela Montgomery and Ronald Araiza, received 10,670 RSUs and PRSUs, 1,867 RSUs and PRSUs and 2,294 RSUs and PRSUs, respectively. The closing price of our stock on such date was $37.49 per share. The time based RSUs vest as to one-third of the shares annually, with the first installment vesting on November 1, 2022. The PRSUs vest, subject to the satisfaction of certain performance criteria, on the third anniversary of the date of grant.</w:t>
      </w:r>
    </w:p>
    <w:p>
      <w:pPr>
        <w:spacing w:after="0" w:line="135" w:lineRule="exact"/>
        <w:rPr>
          <w:rFonts w:ascii="Times New Roman" w:cs="Times New Roman" w:eastAsia="Times New Roman" w:hAnsi="Times New Roman"/>
          <w:sz w:val="18"/>
          <w:szCs w:val="18"/>
          <w:color w:val="auto"/>
          <w:vertAlign w:val="superscript"/>
        </w:rPr>
      </w:pPr>
    </w:p>
    <w:p>
      <w:pPr>
        <w:ind w:left="240" w:right="219" w:hanging="225"/>
        <w:spacing w:after="0" w:line="207" w:lineRule="auto"/>
        <w:tabs>
          <w:tab w:leader="none" w:pos="24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February 1, 2022, as part of his employment agreement with Calavo, Mr. Kocher was granted 28,993 restricted shares. The closing price of our stock on such date was $41.39. These shares vest annually in one-third increments, with the first installment vesting on February 1, 2023.</w:t>
      </w:r>
    </w:p>
    <w:p>
      <w:pPr>
        <w:spacing w:after="0" w:line="134" w:lineRule="exact"/>
        <w:rPr>
          <w:rFonts w:ascii="Times New Roman" w:cs="Times New Roman" w:eastAsia="Times New Roman" w:hAnsi="Times New Roman"/>
          <w:sz w:val="18"/>
          <w:szCs w:val="18"/>
          <w:color w:val="auto"/>
          <w:vertAlign w:val="superscript"/>
        </w:rPr>
      </w:pPr>
    </w:p>
    <w:p>
      <w:pPr>
        <w:ind w:left="240" w:right="239" w:hanging="225"/>
        <w:spacing w:after="0" w:line="207" w:lineRule="auto"/>
        <w:tabs>
          <w:tab w:leader="none" w:pos="24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June 20, 2022, as part of his employment agreement with Calavo, Mr. Munsell was granted 9,002 RSUs. The closing price of our stock on such date was $38.88. These RSUs vest annually in one-third increments, with the first installment vesting on June 20, 2023.</w:t>
      </w:r>
    </w:p>
    <w:p>
      <w:pPr>
        <w:spacing w:after="0" w:line="134" w:lineRule="exact"/>
        <w:rPr>
          <w:rFonts w:ascii="Times New Roman" w:cs="Times New Roman" w:eastAsia="Times New Roman" w:hAnsi="Times New Roman"/>
          <w:sz w:val="18"/>
          <w:szCs w:val="18"/>
          <w:color w:val="auto"/>
          <w:vertAlign w:val="superscript"/>
        </w:rPr>
      </w:pPr>
    </w:p>
    <w:p>
      <w:pPr>
        <w:ind w:left="240" w:right="99" w:hanging="225"/>
        <w:spacing w:after="0" w:line="207" w:lineRule="auto"/>
        <w:tabs>
          <w:tab w:leader="none" w:pos="24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July 11, 2022, as part of his employment agreement with Calavo, Mr. Dumas was granted 3,533 RSUs. The closing price of our stock on such date was $42.46. These RSUs vest annually in one-third increments, with the first installment vesting on July 11, 2023.</w:t>
      </w:r>
    </w:p>
    <w:p>
      <w:pPr>
        <w:spacing w:after="0" w:line="134" w:lineRule="exact"/>
        <w:rPr>
          <w:rFonts w:ascii="Times New Roman" w:cs="Times New Roman" w:eastAsia="Times New Roman" w:hAnsi="Times New Roman"/>
          <w:sz w:val="18"/>
          <w:szCs w:val="18"/>
          <w:color w:val="auto"/>
          <w:vertAlign w:val="superscript"/>
        </w:rPr>
      </w:pPr>
    </w:p>
    <w:p>
      <w:pPr>
        <w:ind w:left="240" w:right="199" w:hanging="225"/>
        <w:spacing w:after="0" w:line="207" w:lineRule="auto"/>
        <w:tabs>
          <w:tab w:leader="none" w:pos="24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August 16, 2022, as part of her employment agreement with Calavo, Ms. Kurtz was granted 6,778 RSUs. The closing price of our stock on such date was $44.26. These RSUs vest annually in one-third increments, with the first installment vesting on August 16, 2023.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 END</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provides the outstanding equity awards for each named executive officer as of October 31,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Stock Awards</w:t>
      </w:r>
    </w:p>
    <w:tbl>
      <w:tblPr>
        <w:tblLayout w:type="fixed"/>
        <w:tblInd w:w="1240" w:type="dxa"/>
        <w:tblCellMar>
          <w:top w:w="0" w:type="dxa"/>
          <w:left w:w="0" w:type="dxa"/>
          <w:bottom w:w="0" w:type="dxa"/>
          <w:right w:w="0" w:type="dxa"/>
        </w:tblCellMar>
      </w:tblPr>
      <w:tr>
        <w:trPr>
          <w:trHeight w:val="72"/>
        </w:trPr>
        <w:tc>
          <w:tcPr>
            <w:tcW w:w="12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gridSpan w:val="2"/>
          </w:tcPr>
          <w:p>
            <w:pPr>
              <w:jc w:val="center"/>
              <w:ind w:right="300"/>
              <w:spacing w:after="0" w:line="72" w:lineRule="exact"/>
              <w:rPr>
                <w:sz w:val="20"/>
                <w:szCs w:val="20"/>
                <w:color w:val="auto"/>
              </w:rPr>
            </w:pPr>
            <w:r>
              <w:rPr>
                <w:rFonts w:ascii="Times New Roman" w:cs="Times New Roman" w:eastAsia="Times New Roman" w:hAnsi="Times New Roman"/>
                <w:sz w:val="8"/>
                <w:szCs w:val="8"/>
                <w:b w:val="1"/>
                <w:bCs w:val="1"/>
                <w:color w:val="auto"/>
              </w:rPr>
              <w:t>Market value of</w:t>
            </w:r>
          </w:p>
        </w:tc>
        <w:tc>
          <w:tcPr>
            <w:tcW w:w="1260" w:type="dxa"/>
            <w:vAlign w:val="bottom"/>
            <w:tcBorders>
              <w:top w:val="single" w:sz="8" w:color="auto"/>
            </w:tcBorders>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w:t>
            </w:r>
          </w:p>
        </w:tc>
        <w:tc>
          <w:tcPr>
            <w:tcW w:w="158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 awards: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60" w:type="dxa"/>
            <w:vAlign w:val="bottom"/>
          </w:tcPr>
          <w:p>
            <w:pPr>
              <w:spacing w:after="0"/>
              <w:rPr>
                <w:sz w:val="8"/>
                <w:szCs w:val="8"/>
                <w:color w:val="auto"/>
              </w:rPr>
            </w:pPr>
          </w:p>
        </w:tc>
        <w:tc>
          <w:tcPr>
            <w:tcW w:w="13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Number of shares or</w:t>
            </w:r>
          </w:p>
        </w:tc>
        <w:tc>
          <w:tcPr>
            <w:tcW w:w="10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or units of</w:t>
            </w:r>
          </w:p>
        </w:tc>
        <w:tc>
          <w:tcPr>
            <w:tcW w:w="12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7"/>
              </w:rPr>
              <w:t>awards: number of</w:t>
            </w:r>
          </w:p>
        </w:tc>
        <w:tc>
          <w:tcPr>
            <w:tcW w:w="16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market or payout value of unearned</w:t>
            </w:r>
          </w:p>
        </w:tc>
        <w:tc>
          <w:tcPr>
            <w:tcW w:w="0" w:type="dxa"/>
            <w:vAlign w:val="bottom"/>
          </w:tcPr>
          <w:p>
            <w:pPr>
              <w:spacing w:after="0"/>
              <w:rPr>
                <w:sz w:val="1"/>
                <w:szCs w:val="1"/>
                <w:color w:val="auto"/>
              </w:rPr>
            </w:pPr>
          </w:p>
        </w:tc>
      </w:tr>
      <w:tr>
        <w:trPr>
          <w:trHeight w:val="99"/>
        </w:trPr>
        <w:tc>
          <w:tcPr>
            <w:tcW w:w="126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6"/>
              </w:rPr>
              <w:t>stock that have</w:t>
            </w:r>
          </w:p>
        </w:tc>
        <w:tc>
          <w:tcPr>
            <w:tcW w:w="12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unearned shares, units or</w:t>
            </w:r>
          </w:p>
        </w:tc>
        <w:tc>
          <w:tcPr>
            <w:tcW w:w="16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units or other rights that have</w:t>
            </w:r>
          </w:p>
        </w:tc>
        <w:tc>
          <w:tcPr>
            <w:tcW w:w="0" w:type="dxa"/>
            <w:vAlign w:val="bottom"/>
          </w:tcPr>
          <w:p>
            <w:pPr>
              <w:spacing w:after="0"/>
              <w:rPr>
                <w:sz w:val="1"/>
                <w:szCs w:val="1"/>
                <w:color w:val="auto"/>
              </w:rPr>
            </w:pPr>
          </w:p>
        </w:tc>
      </w:tr>
      <w:tr>
        <w:trPr>
          <w:trHeight w:val="99"/>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138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7"/>
              </w:rPr>
              <w:t>units of stock that have</w:t>
            </w:r>
          </w:p>
        </w:tc>
        <w:tc>
          <w:tcPr>
            <w:tcW w:w="104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7"/>
              </w:rPr>
              <w:t>not vested ($)</w:t>
            </w:r>
          </w:p>
        </w:tc>
        <w:tc>
          <w:tcPr>
            <w:tcW w:w="12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other rights that have not</w:t>
            </w:r>
          </w:p>
        </w:tc>
        <w:tc>
          <w:tcPr>
            <w:tcW w:w="16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4"/>
              </w:rPr>
              <w:t>not vested ($)</w:t>
            </w: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not vested (#)</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shd w:val="clear" w:color="auto" w:fill="CCFFEE"/>
          </w:tcPr>
          <w:p>
            <w:pPr>
              <w:jc w:val="center"/>
              <w:spacing w:after="0" w:line="88" w:lineRule="exact"/>
              <w:rPr>
                <w:sz w:val="20"/>
                <w:szCs w:val="20"/>
                <w:color w:val="auto"/>
              </w:rPr>
            </w:pPr>
            <w:r>
              <w:rPr>
                <w:rFonts w:ascii="Times New Roman" w:cs="Times New Roman" w:eastAsia="Times New Roman" w:hAnsi="Times New Roman"/>
                <w:sz w:val="10"/>
                <w:szCs w:val="10"/>
                <w:color w:val="auto"/>
                <w:w w:val="95"/>
              </w:rPr>
              <w:t>Steven Hollister</w:t>
            </w:r>
            <w:r>
              <w:rPr>
                <w:rFonts w:ascii="Times New Roman" w:cs="Times New Roman" w:eastAsia="Times New Roman" w:hAnsi="Times New Roman"/>
                <w:sz w:val="7"/>
                <w:szCs w:val="7"/>
                <w:b w:val="1"/>
                <w:bCs w:val="1"/>
                <w:color w:val="auto"/>
                <w:w w:val="95"/>
              </w:rPr>
              <w:t>(1)</w:t>
            </w:r>
          </w:p>
        </w:tc>
        <w:tc>
          <w:tcPr>
            <w:tcW w:w="1220" w:type="dxa"/>
            <w:vAlign w:val="bottom"/>
            <w:tcBorders>
              <w:top w:val="single" w:sz="8" w:color="auto"/>
            </w:tcBorders>
            <w:shd w:val="clear" w:color="auto" w:fill="CCFFEE"/>
          </w:tcPr>
          <w:p>
            <w:pPr>
              <w:jc w:val="right"/>
              <w:spacing w:after="0" w:line="88" w:lineRule="exact"/>
              <w:rPr>
                <w:sz w:val="20"/>
                <w:szCs w:val="20"/>
                <w:color w:val="auto"/>
              </w:rPr>
            </w:pPr>
            <w:r>
              <w:rPr>
                <w:rFonts w:ascii="Times New Roman" w:cs="Times New Roman" w:eastAsia="Times New Roman" w:hAnsi="Times New Roman"/>
                <w:sz w:val="10"/>
                <w:szCs w:val="10"/>
                <w:color w:val="auto"/>
              </w:rPr>
              <w:t>2,814</w:t>
            </w:r>
          </w:p>
        </w:tc>
        <w:tc>
          <w:tcPr>
            <w:tcW w:w="160" w:type="dxa"/>
            <w:vAlign w:val="bottom"/>
            <w:tcBorders>
              <w:top w:val="single" w:sz="8" w:color="CCFFEE"/>
            </w:tcBorders>
            <w:shd w:val="clear" w:color="auto" w:fill="CCFFEE"/>
          </w:tcPr>
          <w:p>
            <w:pPr>
              <w:spacing w:after="0"/>
              <w:rPr>
                <w:sz w:val="7"/>
                <w:szCs w:val="7"/>
                <w:color w:val="auto"/>
              </w:rPr>
            </w:pPr>
          </w:p>
        </w:tc>
        <w:tc>
          <w:tcPr>
            <w:tcW w:w="760" w:type="dxa"/>
            <w:vAlign w:val="bottom"/>
            <w:tcBorders>
              <w:top w:val="single" w:sz="8" w:color="auto"/>
            </w:tcBorders>
            <w:shd w:val="clear" w:color="auto" w:fill="CCFFEE"/>
          </w:tcPr>
          <w:p>
            <w:pPr>
              <w:jc w:val="right"/>
              <w:spacing w:after="0" w:line="88" w:lineRule="exact"/>
              <w:rPr>
                <w:sz w:val="20"/>
                <w:szCs w:val="20"/>
                <w:color w:val="auto"/>
              </w:rPr>
            </w:pPr>
            <w:r>
              <w:rPr>
                <w:rFonts w:ascii="Times New Roman" w:cs="Times New Roman" w:eastAsia="Times New Roman" w:hAnsi="Times New Roman"/>
                <w:sz w:val="10"/>
                <w:szCs w:val="10"/>
                <w:color w:val="auto"/>
              </w:rPr>
              <w:t>97,336</w:t>
            </w:r>
          </w:p>
        </w:tc>
        <w:tc>
          <w:tcPr>
            <w:tcW w:w="280" w:type="dxa"/>
            <w:vAlign w:val="bottom"/>
            <w:tcBorders>
              <w:top w:val="single" w:sz="8" w:color="CCFFEE"/>
            </w:tcBorders>
            <w:shd w:val="clear" w:color="auto" w:fill="CCFFEE"/>
          </w:tcPr>
          <w:p>
            <w:pPr>
              <w:spacing w:after="0"/>
              <w:rPr>
                <w:sz w:val="7"/>
                <w:szCs w:val="7"/>
                <w:color w:val="auto"/>
              </w:rPr>
            </w:pPr>
          </w:p>
        </w:tc>
        <w:tc>
          <w:tcPr>
            <w:tcW w:w="1120" w:type="dxa"/>
            <w:vAlign w:val="bottom"/>
            <w:tcBorders>
              <w:top w:val="single" w:sz="8" w:color="auto"/>
            </w:tcBorders>
            <w:shd w:val="clear" w:color="auto" w:fill="CCFFEE"/>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FFEE"/>
            </w:tcBorders>
            <w:shd w:val="clear" w:color="auto" w:fill="CCFFEE"/>
          </w:tcPr>
          <w:p>
            <w:pPr>
              <w:spacing w:after="0"/>
              <w:rPr>
                <w:sz w:val="7"/>
                <w:szCs w:val="7"/>
                <w:color w:val="auto"/>
              </w:rPr>
            </w:pPr>
          </w:p>
        </w:tc>
        <w:tc>
          <w:tcPr>
            <w:tcW w:w="1580" w:type="dxa"/>
            <w:vAlign w:val="bottom"/>
            <w:tcBorders>
              <w:top w:val="single" w:sz="8" w:color="auto"/>
            </w:tcBorders>
            <w:shd w:val="clear" w:color="auto" w:fill="CCFFEE"/>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2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Brian Kocher</w:t>
            </w:r>
            <w:r>
              <w:rPr>
                <w:rFonts w:ascii="Times New Roman" w:cs="Times New Roman" w:eastAsia="Times New Roman" w:hAnsi="Times New Roman"/>
                <w:sz w:val="7"/>
                <w:szCs w:val="7"/>
                <w:b w:val="1"/>
                <w:bCs w:val="1"/>
                <w:color w:val="auto"/>
                <w:w w:val="96"/>
              </w:rPr>
              <w:t>(2)(3)</w:t>
            </w:r>
          </w:p>
        </w:tc>
        <w:tc>
          <w:tcPr>
            <w:tcW w:w="12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39,663</w:t>
            </w:r>
          </w:p>
        </w:tc>
        <w:tc>
          <w:tcPr>
            <w:tcW w:w="160" w:type="dxa"/>
            <w:vAlign w:val="bottom"/>
          </w:tcPr>
          <w:p>
            <w:pPr>
              <w:spacing w:after="0"/>
              <w:rPr>
                <w:sz w:val="8"/>
                <w:szCs w:val="8"/>
                <w:color w:val="auto"/>
              </w:rPr>
            </w:pPr>
          </w:p>
        </w:tc>
        <w:tc>
          <w:tcPr>
            <w:tcW w:w="104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1,371,943</w:t>
            </w:r>
          </w:p>
        </w:tc>
        <w:tc>
          <w:tcPr>
            <w:tcW w:w="126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10,670</w:t>
            </w: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369,075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60" w:type="dxa"/>
            <w:vAlign w:val="bottom"/>
            <w:shd w:val="clear" w:color="auto" w:fill="CCFFEE"/>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Shawn Munsell</w:t>
            </w:r>
            <w:r>
              <w:rPr>
                <w:rFonts w:ascii="Times New Roman" w:cs="Times New Roman" w:eastAsia="Times New Roman" w:hAnsi="Times New Roman"/>
                <w:sz w:val="7"/>
                <w:szCs w:val="7"/>
                <w:b w:val="1"/>
                <w:bCs w:val="1"/>
                <w:color w:val="auto"/>
                <w:w w:val="96"/>
              </w:rPr>
              <w:t>(4)</w:t>
            </w:r>
          </w:p>
        </w:tc>
        <w:tc>
          <w:tcPr>
            <w:tcW w:w="122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9,002</w:t>
            </w:r>
          </w:p>
        </w:tc>
        <w:tc>
          <w:tcPr>
            <w:tcW w:w="160" w:type="dxa"/>
            <w:vAlign w:val="bottom"/>
            <w:shd w:val="clear" w:color="auto" w:fill="CCFFEE"/>
          </w:tcPr>
          <w:p>
            <w:pPr>
              <w:spacing w:after="0"/>
              <w:rPr>
                <w:sz w:val="8"/>
                <w:szCs w:val="8"/>
                <w:color w:val="auto"/>
              </w:rPr>
            </w:pPr>
          </w:p>
        </w:tc>
        <w:tc>
          <w:tcPr>
            <w:tcW w:w="1040" w:type="dxa"/>
            <w:vAlign w:val="bottom"/>
            <w:gridSpan w:val="2"/>
            <w:shd w:val="clear" w:color="auto" w:fill="CCFFEE"/>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311,379</w:t>
            </w:r>
          </w:p>
        </w:tc>
        <w:tc>
          <w:tcPr>
            <w:tcW w:w="1260" w:type="dxa"/>
            <w:vAlign w:val="bottom"/>
            <w:gridSpan w:val="2"/>
            <w:shd w:val="clear" w:color="auto" w:fill="CCFFEE"/>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gridSpan w:val="2"/>
            <w:shd w:val="clear" w:color="auto" w:fill="CCFFEE"/>
          </w:tcPr>
          <w:p>
            <w:pPr>
              <w:jc w:val="right"/>
              <w:ind w:right="20"/>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99"/>
        </w:trPr>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Graciela Montgomery</w:t>
            </w:r>
            <w:r>
              <w:rPr>
                <w:rFonts w:ascii="Times New Roman" w:cs="Times New Roman" w:eastAsia="Times New Roman" w:hAnsi="Times New Roman"/>
                <w:sz w:val="7"/>
                <w:szCs w:val="7"/>
                <w:b w:val="1"/>
                <w:bCs w:val="1"/>
                <w:color w:val="auto"/>
              </w:rPr>
              <w:t>(2)</w:t>
            </w:r>
          </w:p>
        </w:tc>
        <w:tc>
          <w:tcPr>
            <w:tcW w:w="12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1,867</w:t>
            </w:r>
          </w:p>
        </w:tc>
        <w:tc>
          <w:tcPr>
            <w:tcW w:w="160" w:type="dxa"/>
            <w:vAlign w:val="bottom"/>
          </w:tcPr>
          <w:p>
            <w:pPr>
              <w:spacing w:after="0"/>
              <w:rPr>
                <w:sz w:val="8"/>
                <w:szCs w:val="8"/>
                <w:color w:val="auto"/>
              </w:rPr>
            </w:pPr>
          </w:p>
        </w:tc>
        <w:tc>
          <w:tcPr>
            <w:tcW w:w="104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64,580</w:t>
            </w:r>
          </w:p>
        </w:tc>
        <w:tc>
          <w:tcPr>
            <w:tcW w:w="126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1,867</w:t>
            </w:r>
          </w:p>
        </w:tc>
        <w:tc>
          <w:tcPr>
            <w:tcW w:w="16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64,580</w:t>
            </w:r>
          </w:p>
        </w:tc>
        <w:tc>
          <w:tcPr>
            <w:tcW w:w="0" w:type="dxa"/>
            <w:vAlign w:val="bottom"/>
          </w:tcPr>
          <w:p>
            <w:pPr>
              <w:spacing w:after="0"/>
              <w:rPr>
                <w:sz w:val="1"/>
                <w:szCs w:val="1"/>
                <w:color w:val="auto"/>
              </w:rPr>
            </w:pPr>
          </w:p>
        </w:tc>
      </w:tr>
      <w:tr>
        <w:trPr>
          <w:trHeight w:val="99"/>
        </w:trPr>
        <w:tc>
          <w:tcPr>
            <w:tcW w:w="1260" w:type="dxa"/>
            <w:vAlign w:val="bottom"/>
            <w:shd w:val="clear" w:color="auto" w:fill="CCFFEE"/>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Danny Dumas</w:t>
            </w:r>
            <w:r>
              <w:rPr>
                <w:rFonts w:ascii="Times New Roman" w:cs="Times New Roman" w:eastAsia="Times New Roman" w:hAnsi="Times New Roman"/>
                <w:sz w:val="7"/>
                <w:szCs w:val="7"/>
                <w:b w:val="1"/>
                <w:bCs w:val="1"/>
                <w:color w:val="auto"/>
                <w:w w:val="97"/>
              </w:rPr>
              <w:t>(5)</w:t>
            </w:r>
          </w:p>
        </w:tc>
        <w:tc>
          <w:tcPr>
            <w:tcW w:w="1220" w:type="dxa"/>
            <w:vAlign w:val="bottom"/>
            <w:shd w:val="clear" w:color="auto" w:fill="CCFFEE"/>
          </w:tcPr>
          <w:p>
            <w:pPr>
              <w:jc w:val="right"/>
              <w:spacing w:after="0" w:line="99" w:lineRule="exact"/>
              <w:rPr>
                <w:sz w:val="20"/>
                <w:szCs w:val="20"/>
                <w:color w:val="auto"/>
              </w:rPr>
            </w:pPr>
            <w:r>
              <w:rPr>
                <w:rFonts w:ascii="Times New Roman" w:cs="Times New Roman" w:eastAsia="Times New Roman" w:hAnsi="Times New Roman"/>
                <w:sz w:val="10"/>
                <w:szCs w:val="10"/>
                <w:color w:val="auto"/>
              </w:rPr>
              <w:t>3,533</w:t>
            </w:r>
          </w:p>
        </w:tc>
        <w:tc>
          <w:tcPr>
            <w:tcW w:w="160" w:type="dxa"/>
            <w:vAlign w:val="bottom"/>
            <w:shd w:val="clear" w:color="auto" w:fill="CCFFEE"/>
          </w:tcPr>
          <w:p>
            <w:pPr>
              <w:spacing w:after="0"/>
              <w:rPr>
                <w:sz w:val="8"/>
                <w:szCs w:val="8"/>
                <w:color w:val="auto"/>
              </w:rPr>
            </w:pPr>
          </w:p>
        </w:tc>
        <w:tc>
          <w:tcPr>
            <w:tcW w:w="1040" w:type="dxa"/>
            <w:vAlign w:val="bottom"/>
            <w:gridSpan w:val="2"/>
            <w:shd w:val="clear" w:color="auto" w:fill="CCFFEE"/>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122,206</w:t>
            </w:r>
          </w:p>
        </w:tc>
        <w:tc>
          <w:tcPr>
            <w:tcW w:w="1260" w:type="dxa"/>
            <w:vAlign w:val="bottom"/>
            <w:gridSpan w:val="2"/>
            <w:shd w:val="clear" w:color="auto" w:fill="CCFFEE"/>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gridSpan w:val="2"/>
            <w:shd w:val="clear" w:color="auto" w:fill="CCFFEE"/>
          </w:tcPr>
          <w:p>
            <w:pPr>
              <w:jc w:val="right"/>
              <w:ind w:right="20"/>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5"/>
        </w:trPr>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Helen Kurtz</w:t>
            </w:r>
            <w:r>
              <w:rPr>
                <w:rFonts w:ascii="Times New Roman" w:cs="Times New Roman" w:eastAsia="Times New Roman" w:hAnsi="Times New Roman"/>
                <w:sz w:val="7"/>
                <w:szCs w:val="7"/>
                <w:b w:val="1"/>
                <w:bCs w:val="1"/>
                <w:color w:val="auto"/>
                <w:w w:val="97"/>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6,778</w:t>
            </w:r>
          </w:p>
        </w:tc>
        <w:tc>
          <w:tcPr>
            <w:tcW w:w="160" w:type="dxa"/>
            <w:vAlign w:val="bottom"/>
          </w:tcPr>
          <w:p>
            <w:pPr>
              <w:spacing w:after="0"/>
              <w:rPr>
                <w:sz w:val="10"/>
                <w:szCs w:val="1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234,451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40" w:hanging="209"/>
        <w:spacing w:after="0"/>
        <w:tabs>
          <w:tab w:leader="none" w:pos="4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January 3, 2023, these shares vested and became unrestricted subject to the continued service of the director through such vesting date.</w:t>
      </w:r>
    </w:p>
    <w:p>
      <w:pPr>
        <w:spacing w:after="0" w:line="133" w:lineRule="exact"/>
        <w:rPr>
          <w:rFonts w:ascii="Times New Roman" w:cs="Times New Roman" w:eastAsia="Times New Roman" w:hAnsi="Times New Roman"/>
          <w:sz w:val="17"/>
          <w:szCs w:val="17"/>
          <w:color w:val="auto"/>
          <w:vertAlign w:val="superscript"/>
        </w:rPr>
      </w:pPr>
    </w:p>
    <w:p>
      <w:pPr>
        <w:ind w:left="440" w:right="199" w:hanging="209"/>
        <w:spacing w:after="0" w:line="225" w:lineRule="auto"/>
        <w:tabs>
          <w:tab w:leader="none" w:pos="4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April 1, 2022, as part of the LTIP (time-based and performance based), Brian Kocher and Graciela Montgomery received 10,670 RSUs and PRSUs, and 1,867 RSUs and PRSUs, respectively. The time based RSUs vest as to one-third of the shares annually, with the first installment vesting on November 1, 2022. The PRSUs vest, subject to the satisfaction of certain performance criteria, on the third anniversary of the date of grant.</w:t>
      </w:r>
    </w:p>
    <w:p>
      <w:pPr>
        <w:spacing w:after="0" w:line="134" w:lineRule="exact"/>
        <w:rPr>
          <w:rFonts w:ascii="Times New Roman" w:cs="Times New Roman" w:eastAsia="Times New Roman" w:hAnsi="Times New Roman"/>
          <w:sz w:val="17"/>
          <w:szCs w:val="17"/>
          <w:color w:val="auto"/>
          <w:vertAlign w:val="superscript"/>
        </w:rPr>
      </w:pPr>
    </w:p>
    <w:p>
      <w:pPr>
        <w:ind w:left="440" w:right="159" w:hanging="209"/>
        <w:spacing w:after="0" w:line="215" w:lineRule="auto"/>
        <w:tabs>
          <w:tab w:leader="none" w:pos="4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February 1, 2022, as part of his employment agreement with Calavo, Mr. Kocher was granted 28,993 restricted shares. These shares vest annually in one-third increments, with the first installment vesting on February 1, 2023.</w:t>
      </w:r>
    </w:p>
    <w:p>
      <w:pPr>
        <w:spacing w:after="0" w:line="133" w:lineRule="exact"/>
        <w:rPr>
          <w:rFonts w:ascii="Times New Roman" w:cs="Times New Roman" w:eastAsia="Times New Roman" w:hAnsi="Times New Roman"/>
          <w:sz w:val="17"/>
          <w:szCs w:val="17"/>
          <w:color w:val="auto"/>
          <w:vertAlign w:val="superscript"/>
        </w:rPr>
      </w:pPr>
    </w:p>
    <w:p>
      <w:pPr>
        <w:ind w:left="440" w:right="259" w:hanging="209"/>
        <w:spacing w:after="0" w:line="215" w:lineRule="auto"/>
        <w:tabs>
          <w:tab w:leader="none" w:pos="4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June 20, 2022, as part of his employment agreement with Calavo, Mr. Munsell was granted 9,002 RSUs. These RSUs vest annually in one-third increments, with the first installment vesting on June 20, 2023.</w:t>
      </w:r>
    </w:p>
    <w:p>
      <w:pPr>
        <w:spacing w:after="0" w:line="133" w:lineRule="exact"/>
        <w:rPr>
          <w:rFonts w:ascii="Times New Roman" w:cs="Times New Roman" w:eastAsia="Times New Roman" w:hAnsi="Times New Roman"/>
          <w:sz w:val="17"/>
          <w:szCs w:val="17"/>
          <w:color w:val="auto"/>
          <w:vertAlign w:val="superscript"/>
        </w:rPr>
      </w:pPr>
    </w:p>
    <w:p>
      <w:pPr>
        <w:ind w:left="440" w:right="339" w:hanging="209"/>
        <w:spacing w:after="0" w:line="215" w:lineRule="auto"/>
        <w:tabs>
          <w:tab w:leader="none" w:pos="4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July 11, 2022, as part of his employment agreement with Calavo, Mr. Dumas was granted 3,533 RSUs. These RSUs vest annually in one-third increments, with the first installment vesting on July 11, 2023.</w:t>
      </w:r>
    </w:p>
    <w:p>
      <w:pPr>
        <w:spacing w:after="0" w:line="133" w:lineRule="exact"/>
        <w:rPr>
          <w:rFonts w:ascii="Times New Roman" w:cs="Times New Roman" w:eastAsia="Times New Roman" w:hAnsi="Times New Roman"/>
          <w:sz w:val="17"/>
          <w:szCs w:val="17"/>
          <w:color w:val="auto"/>
          <w:vertAlign w:val="superscript"/>
        </w:rPr>
      </w:pPr>
    </w:p>
    <w:p>
      <w:pPr>
        <w:ind w:left="440" w:right="239" w:hanging="209"/>
        <w:spacing w:after="0" w:line="215" w:lineRule="auto"/>
        <w:tabs>
          <w:tab w:leader="none" w:pos="4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August 16, 2022, as part of her employment agreement with Calavo, Ms. Kurtz was granted 6,778 RSUs. These RSUs vest annually in one-third increments, with the first installment vesting on August 16, 2023.</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0"/>
          <w:szCs w:val="10"/>
          <w:b w:val="1"/>
          <w:bCs w:val="1"/>
          <w:color w:val="auto"/>
        </w:rPr>
        <w:t>Option Awards</w:t>
      </w:r>
    </w:p>
    <w:tbl>
      <w:tblPr>
        <w:tblLayout w:type="fixed"/>
        <w:tblInd w:w="1720" w:type="dxa"/>
        <w:tblCellMar>
          <w:top w:w="0" w:type="dxa"/>
          <w:left w:w="0" w:type="dxa"/>
          <w:bottom w:w="0" w:type="dxa"/>
          <w:right w:w="0" w:type="dxa"/>
        </w:tblCellMar>
      </w:tblPr>
      <w:tr>
        <w:trPr>
          <w:trHeight w:val="72"/>
        </w:trPr>
        <w:tc>
          <w:tcPr>
            <w:tcW w:w="13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gridSpan w:val="2"/>
          </w:tcPr>
          <w:p>
            <w:pPr>
              <w:jc w:val="center"/>
              <w:ind w:left="33"/>
              <w:spacing w:after="0" w:line="72" w:lineRule="exact"/>
              <w:rPr>
                <w:sz w:val="20"/>
                <w:szCs w:val="20"/>
                <w:color w:val="auto"/>
              </w:rPr>
            </w:pPr>
            <w:r>
              <w:rPr>
                <w:rFonts w:ascii="Times New Roman" w:cs="Times New Roman" w:eastAsia="Times New Roman" w:hAnsi="Times New Roman"/>
                <w:sz w:val="8"/>
                <w:szCs w:val="8"/>
                <w:b w:val="1"/>
                <w:bCs w:val="1"/>
                <w:color w:val="auto"/>
              </w:rPr>
              <w:t>Number of</w:t>
            </w:r>
          </w:p>
        </w:tc>
        <w:tc>
          <w:tcPr>
            <w:tcW w:w="1320" w:type="dxa"/>
            <w:vAlign w:val="bottom"/>
            <w:tcBorders>
              <w:top w:val="single" w:sz="8" w:color="auto"/>
            </w:tcBorders>
            <w:gridSpan w:val="2"/>
          </w:tcPr>
          <w:p>
            <w:pPr>
              <w:jc w:val="center"/>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Number of securities</w:t>
            </w:r>
          </w:p>
        </w:tc>
        <w:tc>
          <w:tcPr>
            <w:tcW w:w="640" w:type="dxa"/>
            <w:vAlign w:val="bottom"/>
            <w:tcBorders>
              <w:top w:val="single" w:sz="8" w:color="auto"/>
            </w:tcBorders>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Option</w:t>
            </w:r>
          </w:p>
        </w:tc>
        <w:tc>
          <w:tcPr>
            <w:tcW w:w="1240" w:type="dxa"/>
            <w:vAlign w:val="bottom"/>
            <w:tcBorders>
              <w:top w:val="single" w:sz="8" w:color="auto"/>
            </w:tcBorders>
          </w:tcPr>
          <w:p>
            <w:pPr>
              <w:jc w:val="right"/>
              <w:ind w:right="115"/>
              <w:spacing w:after="0" w:line="72" w:lineRule="exact"/>
              <w:rPr>
                <w:sz w:val="20"/>
                <w:szCs w:val="20"/>
                <w:color w:val="auto"/>
              </w:rPr>
            </w:pPr>
            <w:r>
              <w:rPr>
                <w:rFonts w:ascii="Times New Roman" w:cs="Times New Roman" w:eastAsia="Times New Roman" w:hAnsi="Times New Roman"/>
                <w:sz w:val="8"/>
                <w:szCs w:val="8"/>
                <w:b w:val="1"/>
                <w:bCs w:val="1"/>
                <w:color w:val="auto"/>
              </w:rPr>
              <w:t>Option expiration date</w:t>
            </w:r>
          </w:p>
        </w:tc>
        <w:tc>
          <w:tcPr>
            <w:tcW w:w="0" w:type="dxa"/>
            <w:vAlign w:val="bottom"/>
          </w:tcPr>
          <w:p>
            <w:pPr>
              <w:spacing w:after="0"/>
              <w:rPr>
                <w:sz w:val="1"/>
                <w:szCs w:val="1"/>
                <w:color w:val="auto"/>
              </w:rPr>
            </w:pPr>
          </w:p>
        </w:tc>
      </w:tr>
      <w:tr>
        <w:trPr>
          <w:trHeight w:val="99"/>
        </w:trPr>
        <w:tc>
          <w:tcPr>
            <w:tcW w:w="1340" w:type="dxa"/>
            <w:vAlign w:val="bottom"/>
          </w:tcPr>
          <w:p>
            <w:pPr>
              <w:spacing w:after="0"/>
              <w:rPr>
                <w:sz w:val="8"/>
                <w:szCs w:val="8"/>
                <w:color w:val="auto"/>
              </w:rPr>
            </w:pPr>
          </w:p>
        </w:tc>
        <w:tc>
          <w:tcPr>
            <w:tcW w:w="1040" w:type="dxa"/>
            <w:vAlign w:val="bottom"/>
            <w:gridSpan w:val="2"/>
          </w:tcPr>
          <w:p>
            <w:pPr>
              <w:jc w:val="center"/>
              <w:ind w:left="53"/>
              <w:spacing w:after="0" w:line="99" w:lineRule="exact"/>
              <w:rPr>
                <w:sz w:val="20"/>
                <w:szCs w:val="20"/>
                <w:color w:val="auto"/>
              </w:rPr>
            </w:pPr>
            <w:r>
              <w:rPr>
                <w:rFonts w:ascii="Times New Roman" w:cs="Times New Roman" w:eastAsia="Times New Roman" w:hAnsi="Times New Roman"/>
                <w:sz w:val="10"/>
                <w:szCs w:val="10"/>
                <w:b w:val="1"/>
                <w:bCs w:val="1"/>
                <w:color w:val="auto"/>
                <w:w w:val="94"/>
              </w:rPr>
              <w:t>securities</w:t>
            </w:r>
          </w:p>
        </w:tc>
        <w:tc>
          <w:tcPr>
            <w:tcW w:w="13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underlying unexercised</w:t>
            </w:r>
          </w:p>
        </w:tc>
        <w:tc>
          <w:tcPr>
            <w:tcW w:w="64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40" w:type="dxa"/>
            <w:vAlign w:val="bottom"/>
          </w:tcPr>
          <w:p>
            <w:pPr>
              <w:spacing w:after="0"/>
              <w:rPr>
                <w:sz w:val="8"/>
                <w:szCs w:val="8"/>
                <w:color w:val="auto"/>
              </w:rPr>
            </w:pPr>
          </w:p>
        </w:tc>
        <w:tc>
          <w:tcPr>
            <w:tcW w:w="1040" w:type="dxa"/>
            <w:vAlign w:val="bottom"/>
            <w:gridSpan w:val="2"/>
          </w:tcPr>
          <w:p>
            <w:pPr>
              <w:jc w:val="center"/>
              <w:ind w:left="33"/>
              <w:spacing w:after="0" w:line="99" w:lineRule="exact"/>
              <w:rPr>
                <w:sz w:val="20"/>
                <w:szCs w:val="20"/>
                <w:color w:val="auto"/>
              </w:rPr>
            </w:pPr>
            <w:r>
              <w:rPr>
                <w:rFonts w:ascii="Times New Roman" w:cs="Times New Roman" w:eastAsia="Times New Roman" w:hAnsi="Times New Roman"/>
                <w:sz w:val="10"/>
                <w:szCs w:val="10"/>
                <w:b w:val="1"/>
                <w:bCs w:val="1"/>
                <w:color w:val="auto"/>
                <w:w w:val="94"/>
              </w:rPr>
              <w:t>underlying</w:t>
            </w:r>
          </w:p>
        </w:tc>
        <w:tc>
          <w:tcPr>
            <w:tcW w:w="13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options (#) unexercisable</w:t>
            </w:r>
          </w:p>
        </w:tc>
        <w:tc>
          <w:tcPr>
            <w:tcW w:w="64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Price ($)</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40" w:type="dxa"/>
            <w:vAlign w:val="bottom"/>
          </w:tcPr>
          <w:p>
            <w:pPr>
              <w:spacing w:after="0"/>
              <w:rPr>
                <w:sz w:val="8"/>
                <w:szCs w:val="8"/>
                <w:color w:val="auto"/>
              </w:rPr>
            </w:pPr>
          </w:p>
        </w:tc>
        <w:tc>
          <w:tcPr>
            <w:tcW w:w="1040" w:type="dxa"/>
            <w:vAlign w:val="bottom"/>
            <w:gridSpan w:val="2"/>
          </w:tcPr>
          <w:p>
            <w:pPr>
              <w:jc w:val="center"/>
              <w:ind w:left="33"/>
              <w:spacing w:after="0" w:line="99" w:lineRule="exact"/>
              <w:rPr>
                <w:sz w:val="20"/>
                <w:szCs w:val="20"/>
                <w:color w:val="auto"/>
              </w:rPr>
            </w:pPr>
            <w:r>
              <w:rPr>
                <w:rFonts w:ascii="Times New Roman" w:cs="Times New Roman" w:eastAsia="Times New Roman" w:hAnsi="Times New Roman"/>
                <w:sz w:val="10"/>
                <w:szCs w:val="10"/>
                <w:b w:val="1"/>
                <w:bCs w:val="1"/>
                <w:color w:val="auto"/>
                <w:w w:val="94"/>
              </w:rPr>
              <w:t>unexercised</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40" w:type="dxa"/>
            <w:vAlign w:val="bottom"/>
            <w:vMerge w:val="restart"/>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1040" w:type="dxa"/>
            <w:vAlign w:val="bottom"/>
            <w:gridSpan w:val="2"/>
          </w:tcPr>
          <w:p>
            <w:pPr>
              <w:jc w:val="center"/>
              <w:ind w:left="33"/>
              <w:spacing w:after="0" w:line="99" w:lineRule="exact"/>
              <w:rPr>
                <w:sz w:val="20"/>
                <w:szCs w:val="20"/>
                <w:color w:val="auto"/>
              </w:rPr>
            </w:pPr>
            <w:r>
              <w:rPr>
                <w:rFonts w:ascii="Times New Roman" w:cs="Times New Roman" w:eastAsia="Times New Roman" w:hAnsi="Times New Roman"/>
                <w:sz w:val="10"/>
                <w:szCs w:val="10"/>
                <w:b w:val="1"/>
                <w:bCs w:val="1"/>
                <w:color w:val="auto"/>
                <w:w w:val="97"/>
              </w:rPr>
              <w:t>options (#)</w:t>
            </w: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40" w:type="dxa"/>
            <w:vAlign w:val="bottom"/>
            <w:vMerge w:val="continue"/>
          </w:tcPr>
          <w:p>
            <w:pPr>
              <w:spacing w:after="0"/>
              <w:rPr>
                <w:sz w:val="10"/>
                <w:szCs w:val="10"/>
                <w:color w:val="auto"/>
              </w:rPr>
            </w:pPr>
          </w:p>
        </w:tc>
        <w:tc>
          <w:tcPr>
            <w:tcW w:w="1040" w:type="dxa"/>
            <w:vAlign w:val="bottom"/>
            <w:gridSpan w:val="2"/>
          </w:tcPr>
          <w:p>
            <w:pPr>
              <w:jc w:val="center"/>
              <w:ind w:left="33"/>
              <w:spacing w:after="0"/>
              <w:rPr>
                <w:sz w:val="20"/>
                <w:szCs w:val="20"/>
                <w:color w:val="auto"/>
              </w:rPr>
            </w:pPr>
            <w:r>
              <w:rPr>
                <w:rFonts w:ascii="Times New Roman" w:cs="Times New Roman" w:eastAsia="Times New Roman" w:hAnsi="Times New Roman"/>
                <w:sz w:val="10"/>
                <w:szCs w:val="10"/>
                <w:b w:val="1"/>
                <w:bCs w:val="1"/>
                <w:color w:val="auto"/>
                <w:w w:val="93"/>
              </w:rPr>
              <w:t>exercisable</w:t>
            </w: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340" w:type="dxa"/>
            <w:vAlign w:val="bottom"/>
            <w:tcBorders>
              <w:top w:val="single" w:sz="8" w:color="auto"/>
            </w:tcBorders>
            <w:shd w:val="clear" w:color="auto" w:fill="CCFFEE"/>
          </w:tcPr>
          <w:p>
            <w:pPr>
              <w:jc w:val="center"/>
              <w:spacing w:after="0" w:line="88" w:lineRule="exact"/>
              <w:rPr>
                <w:sz w:val="20"/>
                <w:szCs w:val="20"/>
                <w:color w:val="auto"/>
              </w:rPr>
            </w:pPr>
            <w:r>
              <w:rPr>
                <w:rFonts w:ascii="Times New Roman" w:cs="Times New Roman" w:eastAsia="Times New Roman" w:hAnsi="Times New Roman"/>
                <w:sz w:val="10"/>
                <w:szCs w:val="10"/>
                <w:color w:val="auto"/>
                <w:w w:val="95"/>
              </w:rPr>
              <w:t>Steven Hollister</w:t>
            </w:r>
          </w:p>
        </w:tc>
        <w:tc>
          <w:tcPr>
            <w:tcW w:w="920" w:type="dxa"/>
            <w:vAlign w:val="bottom"/>
            <w:tcBorders>
              <w:top w:val="single" w:sz="8" w:color="auto"/>
            </w:tcBorders>
            <w:shd w:val="clear" w:color="auto" w:fill="CCFFEE"/>
          </w:tcPr>
          <w:p>
            <w:pPr>
              <w:jc w:val="right"/>
              <w:spacing w:after="0" w:line="88" w:lineRule="exact"/>
              <w:rPr>
                <w:sz w:val="20"/>
                <w:szCs w:val="20"/>
                <w:color w:val="auto"/>
              </w:rPr>
            </w:pPr>
            <w:r>
              <w:rPr>
                <w:rFonts w:ascii="Times New Roman" w:cs="Times New Roman" w:eastAsia="Times New Roman" w:hAnsi="Times New Roman"/>
                <w:sz w:val="10"/>
                <w:szCs w:val="10"/>
                <w:color w:val="auto"/>
              </w:rPr>
              <w:t>2,500</w:t>
            </w:r>
          </w:p>
        </w:tc>
        <w:tc>
          <w:tcPr>
            <w:tcW w:w="120" w:type="dxa"/>
            <w:vAlign w:val="bottom"/>
            <w:tcBorders>
              <w:top w:val="single" w:sz="8" w:color="CCFFEE"/>
            </w:tcBorders>
            <w:shd w:val="clear" w:color="auto" w:fill="CCFFEE"/>
          </w:tcPr>
          <w:p>
            <w:pPr>
              <w:spacing w:after="0"/>
              <w:rPr>
                <w:sz w:val="7"/>
                <w:szCs w:val="7"/>
                <w:color w:val="auto"/>
              </w:rPr>
            </w:pPr>
          </w:p>
        </w:tc>
        <w:tc>
          <w:tcPr>
            <w:tcW w:w="1120" w:type="dxa"/>
            <w:vAlign w:val="bottom"/>
            <w:tcBorders>
              <w:top w:val="single" w:sz="8" w:color="auto"/>
            </w:tcBorders>
            <w:shd w:val="clear" w:color="auto" w:fill="CCFFEE"/>
          </w:tcPr>
          <w:p>
            <w:pPr>
              <w:jc w:val="right"/>
              <w:spacing w:after="0" w:line="88" w:lineRule="exact"/>
              <w:rPr>
                <w:sz w:val="20"/>
                <w:szCs w:val="20"/>
                <w:color w:val="auto"/>
              </w:rPr>
            </w:pPr>
            <w:r>
              <w:rPr>
                <w:rFonts w:ascii="Times New Roman" w:cs="Times New Roman" w:eastAsia="Times New Roman" w:hAnsi="Times New Roman"/>
                <w:sz w:val="10"/>
                <w:szCs w:val="10"/>
                <w:color w:val="auto"/>
              </w:rPr>
              <w:t>2,500</w:t>
            </w:r>
          </w:p>
        </w:tc>
        <w:tc>
          <w:tcPr>
            <w:tcW w:w="200" w:type="dxa"/>
            <w:vAlign w:val="bottom"/>
            <w:tcBorders>
              <w:top w:val="single" w:sz="8" w:color="CCFFEE"/>
            </w:tcBorders>
            <w:shd w:val="clear" w:color="auto" w:fill="CCFFEE"/>
          </w:tcPr>
          <w:p>
            <w:pPr>
              <w:spacing w:after="0"/>
              <w:rPr>
                <w:sz w:val="7"/>
                <w:szCs w:val="7"/>
                <w:color w:val="auto"/>
              </w:rPr>
            </w:pPr>
          </w:p>
        </w:tc>
        <w:tc>
          <w:tcPr>
            <w:tcW w:w="500" w:type="dxa"/>
            <w:vAlign w:val="bottom"/>
            <w:tcBorders>
              <w:top w:val="single" w:sz="8" w:color="auto"/>
            </w:tcBorders>
            <w:shd w:val="clear" w:color="auto" w:fill="CCFFEE"/>
          </w:tcPr>
          <w:p>
            <w:pPr>
              <w:jc w:val="right"/>
              <w:spacing w:after="0" w:line="88" w:lineRule="exact"/>
              <w:rPr>
                <w:sz w:val="20"/>
                <w:szCs w:val="20"/>
                <w:color w:val="auto"/>
              </w:rPr>
            </w:pPr>
            <w:r>
              <w:rPr>
                <w:rFonts w:ascii="Times New Roman" w:cs="Times New Roman" w:eastAsia="Times New Roman" w:hAnsi="Times New Roman"/>
                <w:sz w:val="10"/>
                <w:szCs w:val="10"/>
                <w:color w:val="auto"/>
              </w:rPr>
              <w:t>39.20</w:t>
            </w:r>
          </w:p>
        </w:tc>
        <w:tc>
          <w:tcPr>
            <w:tcW w:w="140" w:type="dxa"/>
            <w:vAlign w:val="bottom"/>
            <w:tcBorders>
              <w:top w:val="single" w:sz="8" w:color="CCFFEE"/>
            </w:tcBorders>
            <w:shd w:val="clear" w:color="auto" w:fill="CCFFEE"/>
          </w:tcPr>
          <w:p>
            <w:pPr>
              <w:spacing w:after="0"/>
              <w:rPr>
                <w:sz w:val="7"/>
                <w:szCs w:val="7"/>
                <w:color w:val="auto"/>
              </w:rPr>
            </w:pPr>
          </w:p>
        </w:tc>
        <w:tc>
          <w:tcPr>
            <w:tcW w:w="1240" w:type="dxa"/>
            <w:vAlign w:val="bottom"/>
            <w:tcBorders>
              <w:top w:val="single" w:sz="8" w:color="auto"/>
            </w:tcBorders>
            <w:shd w:val="clear" w:color="auto" w:fill="CCFFEE"/>
          </w:tcPr>
          <w:p>
            <w:pPr>
              <w:jc w:val="right"/>
              <w:ind w:right="195"/>
              <w:spacing w:after="0" w:line="88" w:lineRule="exact"/>
              <w:rPr>
                <w:sz w:val="20"/>
                <w:szCs w:val="20"/>
                <w:color w:val="auto"/>
              </w:rPr>
            </w:pPr>
            <w:r>
              <w:rPr>
                <w:rFonts w:ascii="Times New Roman" w:cs="Times New Roman" w:eastAsia="Times New Roman" w:hAnsi="Times New Roman"/>
                <w:sz w:val="10"/>
                <w:szCs w:val="10"/>
                <w:color w:val="auto"/>
              </w:rPr>
              <w:t>9/9/2031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right="199"/>
        <w:spacing w:after="0" w:line="279" w:lineRule="auto"/>
        <w:rPr>
          <w:sz w:val="20"/>
          <w:szCs w:val="20"/>
          <w:color w:val="auto"/>
        </w:rPr>
      </w:pPr>
      <w:r>
        <w:rPr>
          <w:rFonts w:ascii="Times New Roman" w:cs="Times New Roman" w:eastAsia="Times New Roman" w:hAnsi="Times New Roman"/>
          <w:sz w:val="12"/>
          <w:szCs w:val="12"/>
          <w:color w:val="auto"/>
        </w:rPr>
        <w:t>In September 2021, our Board approved the issuance of a stock option to acquire a total of 5,000 shares of our common stock to Steven Hollister, who was serving as our Interim Chief Executive Officer. Such grant vests annually in equal</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increments over a two-year period. The vested portion of this option is exercisable until the fifth anniversary after the vesting date. The closing share price of our stock on the grant date was $39.20.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OPTION EXERCISES AND STOCK VESTED IN FISCAL YEAR 2022</w:t>
      </w:r>
    </w:p>
    <w:p>
      <w:pPr>
        <w:spacing w:after="0" w:line="154" w:lineRule="exact"/>
        <w:rPr>
          <w:sz w:val="20"/>
          <w:szCs w:val="20"/>
          <w:color w:val="auto"/>
        </w:rPr>
      </w:pPr>
    </w:p>
    <w:p>
      <w:pPr>
        <w:ind w:left="20" w:right="19"/>
        <w:spacing w:after="0" w:line="279" w:lineRule="auto"/>
        <w:rPr>
          <w:sz w:val="20"/>
          <w:szCs w:val="20"/>
          <w:color w:val="auto"/>
        </w:rPr>
      </w:pPr>
      <w:r>
        <w:rPr>
          <w:rFonts w:ascii="Times New Roman" w:cs="Times New Roman" w:eastAsia="Times New Roman" w:hAnsi="Times New Roman"/>
          <w:sz w:val="12"/>
          <w:szCs w:val="12"/>
          <w:color w:val="auto"/>
        </w:rPr>
        <w:t>The following table shows restricted stock shares held by named executive officers which vested in fiscal year 2022. There were no stock option exercises by any named executive officer in fiscal year 2022.</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2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jc w:val="right"/>
              <w:ind w:right="3265"/>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88"/>
        </w:trPr>
        <w:tc>
          <w:tcPr>
            <w:tcW w:w="1900" w:type="dxa"/>
            <w:vAlign w:val="bottom"/>
            <w:gridSpan w:val="2"/>
            <w:vMerge w:val="continue"/>
          </w:tcPr>
          <w:p>
            <w:pPr>
              <w:spacing w:after="0"/>
              <w:rPr>
                <w:sz w:val="7"/>
                <w:szCs w:val="7"/>
                <w:color w:val="auto"/>
              </w:rPr>
            </w:pPr>
          </w:p>
        </w:tc>
        <w:tc>
          <w:tcPr>
            <w:tcW w:w="2860" w:type="dxa"/>
            <w:vAlign w:val="bottom"/>
          </w:tcPr>
          <w:p>
            <w:pPr>
              <w:jc w:val="right"/>
              <w:ind w:right="523"/>
              <w:spacing w:after="0" w:line="88" w:lineRule="exact"/>
              <w:rPr>
                <w:sz w:val="20"/>
                <w:szCs w:val="20"/>
                <w:color w:val="auto"/>
              </w:rPr>
            </w:pPr>
            <w:r>
              <w:rPr>
                <w:rFonts w:ascii="Times New Roman" w:cs="Times New Roman" w:eastAsia="Times New Roman" w:hAnsi="Times New Roman"/>
                <w:sz w:val="10"/>
                <w:szCs w:val="10"/>
                <w:b w:val="1"/>
                <w:bCs w:val="1"/>
                <w:color w:val="auto"/>
              </w:rPr>
              <w:t>Number of Shares Acquired on Vesting (#)</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40" w:type="dxa"/>
            <w:vAlign w:val="bottom"/>
          </w:tcPr>
          <w:p>
            <w:pPr>
              <w:jc w:val="right"/>
              <w:ind w:right="1385"/>
              <w:spacing w:after="0" w:line="88" w:lineRule="exact"/>
              <w:rPr>
                <w:sz w:val="20"/>
                <w:szCs w:val="20"/>
                <w:color w:val="auto"/>
              </w:rPr>
            </w:pPr>
            <w:r>
              <w:rPr>
                <w:rFonts w:ascii="Times New Roman" w:cs="Times New Roman" w:eastAsia="Times New Roman" w:hAnsi="Times New Roman"/>
                <w:sz w:val="10"/>
                <w:szCs w:val="10"/>
                <w:b w:val="1"/>
                <w:bCs w:val="1"/>
                <w:color w:val="auto"/>
              </w:rPr>
              <w:t>Value Realized on Vesting ($)</w:t>
            </w:r>
          </w:p>
        </w:tc>
        <w:tc>
          <w:tcPr>
            <w:tcW w:w="0" w:type="dxa"/>
            <w:vAlign w:val="bottom"/>
          </w:tcPr>
          <w:p>
            <w:pPr>
              <w:spacing w:after="0"/>
              <w:rPr>
                <w:sz w:val="1"/>
                <w:szCs w:val="1"/>
                <w:color w:val="auto"/>
              </w:rPr>
            </w:pPr>
          </w:p>
        </w:tc>
      </w:tr>
      <w:tr>
        <w:trPr>
          <w:trHeight w:val="133"/>
        </w:trPr>
        <w:tc>
          <w:tcPr>
            <w:tcW w:w="1720" w:type="dxa"/>
            <w:vAlign w:val="bottom"/>
            <w:tcBorders>
              <w:top w:val="single" w:sz="8" w:color="auto"/>
            </w:tcBorders>
            <w:shd w:val="clear" w:color="auto" w:fill="CCFFEE"/>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Steven Hollister</w:t>
            </w:r>
          </w:p>
        </w:tc>
        <w:tc>
          <w:tcPr>
            <w:tcW w:w="180" w:type="dxa"/>
            <w:vAlign w:val="bottom"/>
            <w:tcBorders>
              <w:top w:val="single" w:sz="8" w:color="CCFFEE"/>
            </w:tcBorders>
            <w:shd w:val="clear" w:color="auto" w:fill="CCFFEE"/>
          </w:tcPr>
          <w:p>
            <w:pPr>
              <w:spacing w:after="0"/>
              <w:rPr>
                <w:sz w:val="11"/>
                <w:szCs w:val="11"/>
                <w:color w:val="auto"/>
              </w:rPr>
            </w:pPr>
          </w:p>
        </w:tc>
        <w:tc>
          <w:tcPr>
            <w:tcW w:w="286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1,500</w:t>
            </w:r>
          </w:p>
        </w:tc>
        <w:tc>
          <w:tcPr>
            <w:tcW w:w="160" w:type="dxa"/>
            <w:vAlign w:val="bottom"/>
            <w:tcBorders>
              <w:top w:val="single" w:sz="8" w:color="CCFFEE"/>
            </w:tcBorders>
            <w:shd w:val="clear" w:color="auto" w:fill="CCFFEE"/>
          </w:tcPr>
          <w:p>
            <w:pPr>
              <w:spacing w:after="0"/>
              <w:rPr>
                <w:sz w:val="11"/>
                <w:szCs w:val="11"/>
                <w:color w:val="auto"/>
              </w:rPr>
            </w:pPr>
          </w:p>
        </w:tc>
        <w:tc>
          <w:tcPr>
            <w:tcW w:w="120" w:type="dxa"/>
            <w:vAlign w:val="bottom"/>
            <w:tcBorders>
              <w:top w:val="single" w:sz="8" w:color="auto"/>
            </w:tcBorders>
            <w:shd w:val="clear" w:color="auto" w:fill="CCFFEE"/>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940" w:type="dxa"/>
            <w:vAlign w:val="bottom"/>
            <w:tcBorders>
              <w:top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62,535</w:t>
            </w:r>
          </w:p>
        </w:tc>
        <w:tc>
          <w:tcPr>
            <w:tcW w:w="0" w:type="dxa"/>
            <w:vAlign w:val="bottom"/>
          </w:tcPr>
          <w:p>
            <w:pPr>
              <w:spacing w:after="0"/>
              <w:rPr>
                <w:sz w:val="1"/>
                <w:szCs w:val="1"/>
                <w:color w:val="auto"/>
              </w:rPr>
            </w:pPr>
          </w:p>
        </w:tc>
      </w:tr>
      <w:tr>
        <w:trPr>
          <w:trHeight w:val="144"/>
        </w:trPr>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7"/>
              </w:rPr>
              <w:t>Ronald Araiza</w:t>
            </w:r>
          </w:p>
        </w:tc>
        <w:tc>
          <w:tcPr>
            <w:tcW w:w="2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119,316</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FFEE"/>
          </w:tcPr>
          <w:p>
            <w:pPr>
              <w:jc w:val="center"/>
              <w:ind w:right="180"/>
              <w:spacing w:after="0"/>
              <w:rPr>
                <w:sz w:val="20"/>
                <w:szCs w:val="20"/>
                <w:color w:val="auto"/>
              </w:rPr>
            </w:pPr>
            <w:r>
              <w:rPr>
                <w:rFonts w:ascii="Times New Roman" w:cs="Times New Roman" w:eastAsia="Times New Roman" w:hAnsi="Times New Roman"/>
                <w:sz w:val="12"/>
                <w:szCs w:val="12"/>
                <w:color w:val="auto"/>
              </w:rPr>
              <w:t>Robert Wedin</w:t>
            </w:r>
          </w:p>
        </w:tc>
        <w:tc>
          <w:tcPr>
            <w:tcW w:w="286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2,988</w:t>
            </w:r>
          </w:p>
        </w:tc>
        <w:tc>
          <w:tcPr>
            <w:tcW w:w="280" w:type="dxa"/>
            <w:vAlign w:val="bottom"/>
            <w:gridSpan w:val="2"/>
            <w:shd w:val="clear" w:color="auto" w:fill="CCFFEE"/>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9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122,985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Calavo currently does not maintain a nonqualified deferred compensation plan or pension plan, for any named executive officers.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EXECUTIVE EMPLOYMENT AGREEMENTS</w:t>
      </w:r>
    </w:p>
    <w:p>
      <w:pPr>
        <w:spacing w:after="0" w:line="154" w:lineRule="exact"/>
        <w:rPr>
          <w:sz w:val="20"/>
          <w:szCs w:val="20"/>
          <w:color w:val="auto"/>
        </w:rPr>
      </w:pPr>
    </w:p>
    <w:p>
      <w:pPr>
        <w:ind w:left="20" w:right="79"/>
        <w:spacing w:after="0" w:line="327" w:lineRule="auto"/>
        <w:rPr>
          <w:sz w:val="20"/>
          <w:szCs w:val="20"/>
          <w:color w:val="auto"/>
        </w:rPr>
      </w:pPr>
      <w:r>
        <w:rPr>
          <w:rFonts w:ascii="Times New Roman" w:cs="Times New Roman" w:eastAsia="Times New Roman" w:hAnsi="Times New Roman"/>
          <w:sz w:val="11"/>
          <w:szCs w:val="11"/>
          <w:color w:val="auto"/>
        </w:rPr>
        <w:t>Below is a summary of the terms of the employment agreements Calavo entered into with Brian Kocher, Shawn Munsell, Graciela Montgomery, Danny Dumas, Helen Kurtz and Mariela Matute, and the independent Contractor Agreement Calavo entered into with Steven Hollister. The forms of such employment agreements are essentially the same for each executive.</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Brian Kocher</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Pursuant to an Employment Agreement between Calavo and Mr. Kocher dated December 20, 2021 (the “Employment Agreement”), Mr. Kocher will receive an annual base salary of</w:t>
      </w:r>
    </w:p>
    <w:p>
      <w:pPr>
        <w:spacing w:after="0" w:line="17" w:lineRule="exact"/>
        <w:rPr>
          <w:sz w:val="20"/>
          <w:szCs w:val="20"/>
          <w:color w:val="auto"/>
        </w:rPr>
      </w:pPr>
    </w:p>
    <w:p>
      <w:pPr>
        <w:ind w:left="20" w:right="39"/>
        <w:spacing w:after="0" w:line="278" w:lineRule="auto"/>
        <w:rPr>
          <w:sz w:val="20"/>
          <w:szCs w:val="20"/>
          <w:color w:val="auto"/>
        </w:rPr>
      </w:pPr>
      <w:r>
        <w:rPr>
          <w:rFonts w:ascii="Times New Roman" w:cs="Times New Roman" w:eastAsia="Times New Roman" w:hAnsi="Times New Roman"/>
          <w:sz w:val="11"/>
          <w:szCs w:val="11"/>
          <w:color w:val="auto"/>
        </w:rPr>
        <w:t>$800,000, which is subject to increase on an annual basis at the discretion of Calavo’s Compensation Committee. Mr. Kocher will be eligible to receive a performance bonus pursuant to Calavo’s Management Incentive Plan of 100% to 200% of his annual base salary for any fiscal year in which Calavo achieves its annual performance targets established by Calavo’s Compensation Committee for Calavo’s executive officers. The Compensation Committee may also elect to award Mr. Kocher a discretionary bonus. The annual bonus for fiscal year 2022 will not be pro-rated and shall not be less than $400,000. Mr. Kocher will receive restricted shares of Calavo common stock having a value of $1,200,000 upon his commencement date, vesting in three equal annual installments. Calavo will also pay $325,000 of relocation expenses for Mr. Kocher. Mr. Kocher will also be eligible to receive up to 100% of his annual base salary in equity awards pursuant to the terms of Calavo’s Long Term Incentive Plan. In the event that Mr. Kocher’s employment is terminated without cause or upon good reason, Mr. Kocher will receive severance equal to one year of his annual base salary, Calavo-paid health benefits for one year following separation and a pro-rated portion of his annual bonus.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Shawn Munsell</w:t>
      </w:r>
    </w:p>
    <w:p>
      <w:pPr>
        <w:spacing w:after="0" w:line="152" w:lineRule="exact"/>
        <w:rPr>
          <w:sz w:val="20"/>
          <w:szCs w:val="20"/>
          <w:color w:val="auto"/>
        </w:rPr>
      </w:pPr>
    </w:p>
    <w:p>
      <w:pPr>
        <w:ind w:left="20" w:right="39"/>
        <w:spacing w:after="0" w:line="253" w:lineRule="auto"/>
        <w:rPr>
          <w:sz w:val="20"/>
          <w:szCs w:val="20"/>
          <w:color w:val="auto"/>
        </w:rPr>
      </w:pPr>
      <w:r>
        <w:rPr>
          <w:rFonts w:ascii="Times New Roman" w:cs="Times New Roman" w:eastAsia="Times New Roman" w:hAnsi="Times New Roman"/>
          <w:sz w:val="12"/>
          <w:szCs w:val="12"/>
          <w:color w:val="auto"/>
        </w:rPr>
        <w:t>Pursuant to an Employment Agreement between Calavo and Mr. Munsell dated June 9, 2022 (the “Employment Agreement”), Mr. Munsell will receive an annual base salary of $415,000, which is subject to increase on an annual basis at the discretion of Calavo’s Compensation Committee. Starting in fiscal 2022, Mr. Munsell will be eligible to receive a performance bonus of 60% of his annual base salary for any fiscal year in which Calavo achieves its annual performance targets established by Calavo’s Compensation Committee for Calavo’s executive officers. The Compensation Committee may also elect to award Mr. Munsell a discretionary bonus. Mr. Munsell will receive a signing bonus consisting of restricted stock units representing a contingent right to Calavo’s common stock having a value of $350,000 upon the commencement of his employment, which restricted stock units will vest in three equal annual installments, with the first installment to vest on the first anniversary of the commencement of Mr. Munsell’s employment. Calavo will also reimburse Mr. Munsell for travel expenses. In the event that Mr. Munsell’s employment is terminated by Calavo without Cause (as defined in the Employment Agreement) or Mr. Munsell terminates his employment for Good Reason (as defined in the Employment Agreement), Mr. Munsell will be entitled to receive severance payments equal to one year of his annual base salary, Calavo-paid health benefits for one year following separation, a pro-rated portion of his annual bonus, and the restricted stock units issued to Mr. Munsell as a signing bonus will become fully vested as of the date of such termination.</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Graciela Montgomery</w:t>
      </w:r>
    </w:p>
    <w:p>
      <w:pPr>
        <w:spacing w:after="0" w:line="152"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Pursuant to an Employment Agreement between Calavo and Ms. Montgomery dated October 11, 2021 (the “Employment Agreement”), Ms. Montgomery initially received an annual base salary of $350,000, which was subsequently increased to $360,000 annually, which base salary is subject to increase on an annual basis at the discretion of Calavo’s Compensation Committee. Starting in fiscal 2022, Ms. Montgomery will be eligible to receive a performance bonus of 40% of her annual base salary for any fiscal year in which Calavo achieves its annual performance targets established by Calavo’s Compensation Committee for Calavo’s executive officers. The Compensation Committee may also elect to award Ms. Montgomery a discretionary bonus. Starting in fiscal 2022, Ms. Montgomery will be eligible to participate in the LTIP and receive a total of 40% of her base salary per year in equity awards pursuant to the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139"/>
        <w:spacing w:after="0" w:line="260" w:lineRule="auto"/>
        <w:rPr>
          <w:sz w:val="20"/>
          <w:szCs w:val="20"/>
          <w:color w:val="auto"/>
        </w:rPr>
      </w:pPr>
      <w:r>
        <w:rPr>
          <w:rFonts w:ascii="Times New Roman" w:cs="Times New Roman" w:eastAsia="Times New Roman" w:hAnsi="Times New Roman"/>
          <w:sz w:val="12"/>
          <w:szCs w:val="12"/>
          <w:color w:val="auto"/>
        </w:rPr>
        <w:t>LTIP. Each such award will vest over a three-year period in three equal annual installments, subject to continuing service. In the event that Ms. Montgomery’s employment is terminated by Calavo without cause (as defined in the Employment Agreement) or Ms. Montgomery terminates her employment for good reason (as defined in the Employment Agreement), provided she executes a separation and release agreement, Ms. Montgomery will be entitled to receive severance payments equal to one year of her annual base salary, and Calavo-paid health benefits for one year following separation, a pro-rated portion of her annual bonus.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Helen Kurtz</w:t>
      </w:r>
    </w:p>
    <w:p>
      <w:pPr>
        <w:spacing w:after="0" w:line="152" w:lineRule="exact"/>
        <w:rPr>
          <w:sz w:val="20"/>
          <w:szCs w:val="20"/>
          <w:color w:val="auto"/>
        </w:rPr>
      </w:pPr>
    </w:p>
    <w:p>
      <w:pPr>
        <w:ind w:left="20" w:right="59"/>
        <w:spacing w:after="0" w:line="253" w:lineRule="auto"/>
        <w:rPr>
          <w:sz w:val="20"/>
          <w:szCs w:val="20"/>
          <w:color w:val="auto"/>
        </w:rPr>
      </w:pPr>
      <w:r>
        <w:rPr>
          <w:rFonts w:ascii="Times New Roman" w:cs="Times New Roman" w:eastAsia="Times New Roman" w:hAnsi="Times New Roman"/>
          <w:sz w:val="12"/>
          <w:szCs w:val="12"/>
          <w:color w:val="auto"/>
        </w:rPr>
        <w:t>Pursuant to an Employment Agreement between Calavo and Ms. Kurtz (the “Kurtz Employment Agreement”), Ms. Kurtz will receive an annual base salary of $430,000, which is subject to increases on an annual basis at the discretion of Calavo’s Compensation Committee. Ms. Kurtz will receive a performance bonus of not less than 50% of her annual base salary for fiscal 2023 if Calavo achieves the annual performance targets established by Calavo’s Compensation Committee for Calavo’s executive officers, provided she remains employed by Calavo for the entire fiscal year. The Compensation Committee may also elect to award Ms. Kurtz a discretionary bonus for any fiscal year, including fiscal 2022. Beginning with fiscal 2023, Ms. Kurtz will also be eligible to receive not less than the equivalent of 50% of her annual base salary in equity awards pursuant to the terms of the Company’s 2020 Equity Incentive Plan, which will vest as described in the Kurtz Employment Agreement. Ms. Kurtz will receive a signing bonus consisting of restricted stock units representing a contingent right to receive Calavo’s common stock having a value of $300,000, which restricted stock units will vest in three equal annual installments, subject to continued service on each vesting date, with the first installment to vest on the first anniversary of the commencement of Ms. Kurtz’s employment. In the event that Ms. Kurtz’s employment is terminated by Calavo without Cause (as defined in the Kurtz Employment Agreement) or Ms. Kurtz terminates her employment for Good Reason (as defined in the Kurtz Employment Agreement), and Ms. Kurtz executes a separation and release agreement, Ms. Kurtz will be entitled to receive severance payments equal to one year of her annual base salary, Calavo-paid health benefits for one year following separation, a pro-rated portion of her annual bonus, and the restricted stock units issued to Ms. Kurtz as a signing bonus will become fully vested as of the date of such termination.</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Danny Dumas</w:t>
      </w:r>
    </w:p>
    <w:p>
      <w:pPr>
        <w:spacing w:after="0" w:line="152" w:lineRule="exact"/>
        <w:rPr>
          <w:sz w:val="20"/>
          <w:szCs w:val="20"/>
          <w:color w:val="auto"/>
        </w:rPr>
      </w:pPr>
    </w:p>
    <w:p>
      <w:pPr>
        <w:ind w:left="20" w:right="59"/>
        <w:spacing w:after="0" w:line="253" w:lineRule="auto"/>
        <w:rPr>
          <w:sz w:val="20"/>
          <w:szCs w:val="20"/>
          <w:color w:val="auto"/>
        </w:rPr>
      </w:pPr>
      <w:r>
        <w:rPr>
          <w:rFonts w:ascii="Times New Roman" w:cs="Times New Roman" w:eastAsia="Times New Roman" w:hAnsi="Times New Roman"/>
          <w:sz w:val="12"/>
          <w:szCs w:val="12"/>
          <w:color w:val="auto"/>
        </w:rPr>
        <w:t>Pursuant to an Employment Agreement between Calavo and Mr. Dumas (the “Dumas Employment Agreement”), Mr. Dumas will receive an annual base salary of $415,000, which is subject to increase on an annual basis at the discretion of Calavo’s Compensation Committee. Mr. Dumas will be eligible to receive a performance bonus of 40% of his annual base salary for any fiscal year (prorated for fiscal 2022) in which Calavo achieves its annual performance targets established by Calavo’s Compensation Committee for Calavo’s executive officers. The Compensation Committee may also elect to award Mr. Dumas a discretionary bonus. Mr. Dumas is also eligible to receive a total of up to 40% of his annual base salary (or higher, with respect to performance vested target component) in equity awards pursuant to the terms of the incentive plan, which will vest as described in the Employment Agreement. Mr. Dumas will receive a signing bonus consisting of restricted stock units representing a contingent right to Calavo’s common stock having a value of $150,000 upon the commencement of his employment, which restricted stock units will vest in three equal annual installments, subject to continued service on each vesting date, with the first installment to vest on the first anniversary of the commencement of Mr. Dumas’s employment. Calavo will also reimburse Mr. Dumas for travel expenses. In the event that Mr. Dumas’ employment is terminated by Calavo without Cause (as defined in the Dumas Employment Agreement) or Mr. Dumas terminates his employment for Good Reason (as defined in the Dumas Employment Agreement), and Mr. Dumas executes a separation and release agreement, Mr. Dumas will be entitled to receive severance payments equal to one year of his annual base salary, Calavo-paid health benefits for one year following separation, a pro-rated portion of his annual bonus, and the restricted stock units issued to Mr. Dumas as a signing bonus will become fully vested as of the date of such termination.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Mariela Matute</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Pursuant to an Employment Agreement between Calavo and Ms. Matute dated September 13, 2021 (the “Employment Agreement”), Ms. Matute will receive an annual base salary of</w:t>
      </w:r>
    </w:p>
    <w:p>
      <w:pPr>
        <w:spacing w:after="0" w:line="17"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1"/>
          <w:szCs w:val="11"/>
          <w:color w:val="auto"/>
        </w:rPr>
        <w:t>$430,000, which is subject to increase on an annual basis at the discretion of Calavo’s Compensation Committee. Ms. Matute will be eligible to receive a performance bonus pursuant to Calavo’s Management Incentive Plan of 70% of her annual base salary for any fiscal year in which Calavo achieves its annual performance targets established by Calavo’s Compensation Committee for Calavo’s executive officers. The Compensation Committee may also elect to award Ms. Matute a discretionary bonus. Ms. Matute will receive restricted shares of Calavo common stock having a value of $300,000 upon her commencement date, vesting in three equal annual installments. Calavo will also pay certain relocation expenses for Ms. Matute. Ms. Matute will also be eligible to receive a total of $300,000 per year in equity awards. In the event that Ms. Matute’s employment is terminated without cause or upon good reason, Ms. Matute will receive severance equal to one year of her annual base salary, Calavo-paid health benefits for one year following separation and a pro-rated portion of her annual bonus.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Steven Hollister</w:t>
      </w:r>
    </w:p>
    <w:p>
      <w:pPr>
        <w:spacing w:after="0" w:line="152"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Pursuant to an Independent Contractor Agreement between Calavo and Ms. Hollister dated September 8, 2021, with respect to the executive officer services that Mr. Hollister would provide on an interim basis, Calavo agreed to pay Mr. Hollister consulting fees of $50,000 per month and award a stock option grant (vesting in two equal annual installments) to acquire 5,000 shares of our common stock with a per share exercise price equal to our share price on the grant date.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Certain Employment Agreement Definitions</w:t>
      </w:r>
    </w:p>
    <w:p>
      <w:pPr>
        <w:spacing w:after="0" w:line="152" w:lineRule="exact"/>
        <w:rPr>
          <w:sz w:val="20"/>
          <w:szCs w:val="20"/>
          <w:color w:val="auto"/>
        </w:rPr>
      </w:pPr>
    </w:p>
    <w:p>
      <w:pPr>
        <w:ind w:left="20" w:right="39"/>
        <w:spacing w:after="0" w:line="252" w:lineRule="auto"/>
        <w:rPr>
          <w:sz w:val="20"/>
          <w:szCs w:val="20"/>
          <w:color w:val="auto"/>
        </w:rPr>
      </w:pPr>
      <w:r>
        <w:rPr>
          <w:rFonts w:ascii="Times New Roman" w:cs="Times New Roman" w:eastAsia="Times New Roman" w:hAnsi="Times New Roman"/>
          <w:sz w:val="12"/>
          <w:szCs w:val="12"/>
          <w:color w:val="auto"/>
        </w:rPr>
        <w:t>Under the above employment agreements, “Cause” generally means: (1) willful misconduct by the executive with respect to the Company that has a material adverse effect on the Company and continues for a period of at least ten (10) days after written notice of such misconduct is given by the Company to the executive; (2) the executive’s willful refusal to attempt to follow any proper written direction of the Chairman of the Board of Directors, the Board of Directors, or the Company’s Chief Executive Officer unless the executive has a good faith reason to believe that such direction is illegal or is a violation of the Company’s rules, regulations and policies, which refusal shall continue for a period of at least ten (10) days after written notice of such refusal is given by the Company to the executive; (3) the substantial and continuing refusal by the executive to attempt to perform his/her duties required under the employment agreement after written notice of demand for performance of such duties is delivered to the executive by the Company (which notice must specifically identify the manner in which the Company believes the executive has substantially and continually refused to attempt to perform his/her duties under the employment agreement) and after such refusal to attempt to perform his/her duties has continued for at least ten days after his/her receipt of such notice; (4) the executive’s conviction of, or entry of a plea of guilty or nolo contendere to, a felony (other than a felony involving a traffic violation); (5) the executive’s theft, embezzlement or other criminal misappropriation of funds from the Company; or (6) the executive’s willful breach of any other material provision of the employment agreement or of the Company’s Employee Handbook, Insider Trading Policy or Code of Business Conduct and Ethics and such willful breach continues for at least ten (10) days after written notice from the Company to the executive specifying the breach if such breach is curable. For purposes hereof, an act, or a failure to act, shall not be deemed willful or intentional, unless it is done, or omitted to be done, by the executive in bad faith or without a reasonable belief that the executive’s action or omission was in the best interest of the Company. Notwithstanding the foregoing, any action or inaction taken by the executive based upon the executive’s reasonable reliance on advice of counsel to the Company or the direction of the Board shall not form the basis for Cause. For avoidance of doubt, "Cause" does not include any failure to achieve any performance targets, whether relating to the executive, the Company, or otherwise.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59"/>
        <w:spacing w:after="0" w:line="253" w:lineRule="auto"/>
        <w:rPr>
          <w:sz w:val="20"/>
          <w:szCs w:val="20"/>
          <w:color w:val="auto"/>
        </w:rPr>
      </w:pPr>
      <w:r>
        <w:rPr>
          <w:rFonts w:ascii="Times New Roman" w:cs="Times New Roman" w:eastAsia="Times New Roman" w:hAnsi="Times New Roman"/>
          <w:sz w:val="12"/>
          <w:szCs w:val="12"/>
          <w:color w:val="auto"/>
        </w:rPr>
        <w:t>Under the above employment agreements, “Good Reason” generally means the occurrence, without the executive’s written consent, of any of the following: (1) any requirement (whether as a result of change in duties or otherwise) that executive perform the majority of his/her hours of employment more than 35 miles from the Company’s primary work location, if the Company fails to remedy such change within thirty days after written notice is given by the executive to the Company; (2) any reduction in base salary below a specified threshold; (3) any material adverse reduction in the executive’s title, duties, responsibilities or authority, including, without limitation, any adverse change in reporting relationship or assignment to executive of duties inconsistent with their position, including in a successor entity in the event of a Change in Control, which is not cured within thirty (30) days after written notice from the executive to the Company; (4) any breach by the Company of any material provision of the employment agreement (whether or not described above), which breach is not cured by the Company within thirty (30) days after written notice of such breach is given by the executive to the Company; or (5) the failure of any successor to the Company (whether direct or indirect or whether by merger, acquisition of assets, consolidation or otherwise) to assume in a writing delivered to the executive the obligations of the Company under the employment agreement, if such assumption agreement is not delivered to the executive within ten (10) days after he provides the successor to the Company with written notice of his/her desire to receive such agreement.</w:t>
      </w:r>
    </w:p>
    <w:p>
      <w:pPr>
        <w:spacing w:after="0" w:line="129" w:lineRule="exact"/>
        <w:rPr>
          <w:sz w:val="20"/>
          <w:szCs w:val="20"/>
          <w:color w:val="auto"/>
        </w:rPr>
      </w:pPr>
    </w:p>
    <w:p>
      <w:pPr>
        <w:ind w:left="20" w:right="99"/>
        <w:spacing w:after="0" w:line="257" w:lineRule="auto"/>
        <w:rPr>
          <w:sz w:val="20"/>
          <w:szCs w:val="20"/>
          <w:color w:val="auto"/>
        </w:rPr>
      </w:pPr>
      <w:r>
        <w:rPr>
          <w:rFonts w:ascii="Times New Roman" w:cs="Times New Roman" w:eastAsia="Times New Roman" w:hAnsi="Times New Roman"/>
          <w:sz w:val="12"/>
          <w:szCs w:val="12"/>
          <w:color w:val="auto"/>
        </w:rPr>
        <w:t>Notwithstanding the foregoing, the executive shall be deemed to have terminated his/her Employment for Good Reason for purposes of the employment agreement only if he terminates his/her Employment within sixty (60) days after the occurrence of the event described in this paragraph (including expiration of the applicable notice and cure period) that permits him to terminate his/her Employment for Good Reason. In the event that the executive elects to terminate his/her Employment for Good Reason pursuant to subsection (3) above following a Change in Control, the executive shall provide the Company with at least six (6) month’s notice of his/her intention to terminate his/her employment for Good Reason and the Company shall retain the option to shorten such notice period.</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“Change in Control: is defined in the 2020 Plan.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Further details on the specific compensation that was provided to the named executive officers pursuant to their agreements with Calavo is provided below.</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Base Salary and Consulting Fees:</w:t>
      </w:r>
    </w:p>
    <w:p>
      <w:pPr>
        <w:spacing w:after="0" w:line="19" w:lineRule="exact"/>
        <w:rPr>
          <w:sz w:val="20"/>
          <w:szCs w:val="20"/>
          <w:color w:val="auto"/>
        </w:rPr>
      </w:pPr>
    </w:p>
    <w:p>
      <w:pPr>
        <w:ind w:left="20" w:right="59"/>
        <w:spacing w:after="0" w:line="253" w:lineRule="auto"/>
        <w:rPr>
          <w:sz w:val="20"/>
          <w:szCs w:val="20"/>
          <w:color w:val="auto"/>
        </w:rPr>
      </w:pPr>
      <w:r>
        <w:rPr>
          <w:rFonts w:ascii="Times New Roman" w:cs="Times New Roman" w:eastAsia="Times New Roman" w:hAnsi="Times New Roman"/>
          <w:sz w:val="12"/>
          <w:szCs w:val="12"/>
          <w:color w:val="auto"/>
        </w:rPr>
        <w:t>The employment agreements provide that Mr. Kocher, Mr. Munsell, Ms. Montgomery, Mr. Dumas and Ms. Kurtz will receive an annual base salary which is subject to annual review and increase by our Compensation Committee in its discretion. Mr. Kocher’s initial base salary has been set to $800,000. Mr. Munsell’s initial base salary has been set to $415,000. Ms. Montgomery’s initial base salary has been set to $350,000. Mr. Dumas’s initial base salary has been set to $415,000. Ms. Kurtz’s initial base salary has been set to $430,000. Ms. Matute’s initial base salary has been set to $430,000. Mr. Hollister’s fee was set to $50,000 per month.</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Signing Bonuses and Other</w:t>
      </w:r>
      <w:r>
        <w:rPr>
          <w:rFonts w:ascii="Times New Roman" w:cs="Times New Roman" w:eastAsia="Times New Roman" w:hAnsi="Times New Roman"/>
          <w:sz w:val="12"/>
          <w:szCs w:val="12"/>
          <w:u w:val="single" w:color="auto"/>
          <w:color w:val="auto"/>
        </w:rPr>
        <w:t>:</w:t>
      </w:r>
    </w:p>
    <w:p>
      <w:pPr>
        <w:spacing w:after="0" w:line="19" w:lineRule="exact"/>
        <w:rPr>
          <w:sz w:val="20"/>
          <w:szCs w:val="20"/>
          <w:color w:val="auto"/>
        </w:rPr>
      </w:pPr>
    </w:p>
    <w:p>
      <w:pPr>
        <w:ind w:left="20" w:right="59"/>
        <w:spacing w:after="0" w:line="253" w:lineRule="auto"/>
        <w:rPr>
          <w:sz w:val="20"/>
          <w:szCs w:val="20"/>
          <w:color w:val="auto"/>
        </w:rPr>
      </w:pPr>
      <w:r>
        <w:rPr>
          <w:rFonts w:ascii="Times New Roman" w:cs="Times New Roman" w:eastAsia="Times New Roman" w:hAnsi="Times New Roman"/>
          <w:sz w:val="12"/>
          <w:szCs w:val="12"/>
          <w:color w:val="auto"/>
        </w:rPr>
        <w:t>On February 1, 2022, Mr. Kocher received a signing bonus of $1,200,000 that was granted in restricted shares that vest in three equal annual installments on each of the first three anniversaries of the grant date, subject to the requirement that he remain in Calavo’s employment at time of vesting. Mr. Kocher was granted 28,993 restricted shares. The closing price of our stock on such date was $41.39. Mr. Kocher further received a lump sum allowance for relocation expenses of $325,000 for which periodic draws against the allowance are funded. As of October 31, 2022, Mr. Kocher has only used $60,000 of the total allowance for relocation expenses.</w:t>
      </w:r>
    </w:p>
    <w:p>
      <w:pPr>
        <w:spacing w:after="0" w:line="127" w:lineRule="exact"/>
        <w:rPr>
          <w:sz w:val="20"/>
          <w:szCs w:val="20"/>
          <w:color w:val="auto"/>
        </w:rPr>
      </w:pPr>
    </w:p>
    <w:p>
      <w:pPr>
        <w:jc w:val="both"/>
        <w:ind w:left="20" w:right="119"/>
        <w:spacing w:after="0" w:line="265" w:lineRule="auto"/>
        <w:rPr>
          <w:sz w:val="20"/>
          <w:szCs w:val="20"/>
          <w:color w:val="auto"/>
        </w:rPr>
      </w:pPr>
      <w:r>
        <w:rPr>
          <w:rFonts w:ascii="Times New Roman" w:cs="Times New Roman" w:eastAsia="Times New Roman" w:hAnsi="Times New Roman"/>
          <w:sz w:val="12"/>
          <w:szCs w:val="12"/>
          <w:color w:val="auto"/>
        </w:rPr>
        <w:t>On June 20, 2022, Shawn Munsell was granted 9,002 RSUs as part of his employment agreement. The closing share price of our stock on such grant date was $38.88. These shares will vest in three equal annual installments on each of the first three anniversaries of the grant date. The grant fair value of restricted stock granted to Mr. Munsell was $350,000. Mr. Munsell received reimbursements for travel expenses.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On July 11, 2022, Danny Dumas was granted 3,533 RSUs as part of his employment agreement. The closing share price of our stock on such grant date was $42.46. These shares will vest in three equal annual installments on each of the first three anniversaries of the grant date. The grant fair value of restricted stock granted to Mr. Dumas was $150,000. Mr. Dumas received reimbursements for travel expenses.</w:t>
      </w:r>
    </w:p>
    <w:p>
      <w:pPr>
        <w:spacing w:after="0" w:line="119" w:lineRule="exact"/>
        <w:rPr>
          <w:sz w:val="20"/>
          <w:szCs w:val="20"/>
          <w:color w:val="auto"/>
        </w:rPr>
      </w:pPr>
    </w:p>
    <w:p>
      <w:pPr>
        <w:ind w:left="20" w:right="139"/>
        <w:spacing w:after="0" w:line="257" w:lineRule="auto"/>
        <w:rPr>
          <w:sz w:val="20"/>
          <w:szCs w:val="20"/>
          <w:color w:val="auto"/>
        </w:rPr>
      </w:pPr>
      <w:r>
        <w:rPr>
          <w:rFonts w:ascii="Times New Roman" w:cs="Times New Roman" w:eastAsia="Times New Roman" w:hAnsi="Times New Roman"/>
          <w:sz w:val="12"/>
          <w:szCs w:val="12"/>
          <w:color w:val="auto"/>
        </w:rPr>
        <w:t>On August 16, 2022, Helen Kurtz was granted 6,778 RSUs as part of her employment agreement. The closing share price of our stock on such grant date was $44.26. These shares will vest in three equal annual installments on each of the first three anniversaries of the grant date. The grant fair value of restricted stock granted to Ms. Kurtz was $300,000. Ms. Kurtz is also entitled to receive full reimbursement for all reasonable out-of-pocket business expenses that are incurred by her during her employment in accordance with the policies and procedures established from time to time by Calavo. Further, provided Ms. Kurtz provides appropriate documentation, that she is entitled to receive reimbursement for her vehicle in the amount of $933 per month, and for her cellular and internet plans in the amount of $110 per month. Ms. Kurtz received reimbursements for travel expenses.</w:t>
      </w:r>
    </w:p>
    <w:p>
      <w:pPr>
        <w:spacing w:after="0" w:line="125" w:lineRule="exact"/>
        <w:rPr>
          <w:sz w:val="20"/>
          <w:szCs w:val="20"/>
          <w:color w:val="auto"/>
        </w:rPr>
      </w:pPr>
    </w:p>
    <w:p>
      <w:pPr>
        <w:ind w:left="20" w:right="159"/>
        <w:spacing w:after="0" w:line="265" w:lineRule="auto"/>
        <w:rPr>
          <w:sz w:val="20"/>
          <w:szCs w:val="20"/>
          <w:color w:val="auto"/>
        </w:rPr>
      </w:pPr>
      <w:r>
        <w:rPr>
          <w:rFonts w:ascii="Times New Roman" w:cs="Times New Roman" w:eastAsia="Times New Roman" w:hAnsi="Times New Roman"/>
          <w:sz w:val="12"/>
          <w:szCs w:val="12"/>
          <w:color w:val="auto"/>
        </w:rPr>
        <w:t>On September 8, 2021, Steve Hollister was granted an option to purchase 5,000 shares of the Company’s common stock which vested as to 50% of the shares on September 8, 2022 and will vest as to 50% of the shares on September 8, 2023. The grant date fair value of the option granted to Mr. Hollister was $196,000. Additionally, Mr. Hollister was entitled to reimbursement for all reasonable travel, lodging, communications, shipping charges and out-of-pocket expenses incurred.</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Performance Based Bonuses:</w:t>
      </w:r>
    </w:p>
    <w:p>
      <w:pPr>
        <w:spacing w:after="0" w:line="19" w:lineRule="exact"/>
        <w:rPr>
          <w:sz w:val="20"/>
          <w:szCs w:val="20"/>
          <w:color w:val="auto"/>
        </w:rPr>
      </w:pPr>
    </w:p>
    <w:p>
      <w:pPr>
        <w:ind w:left="20" w:right="339"/>
        <w:spacing w:after="0" w:line="260" w:lineRule="auto"/>
        <w:rPr>
          <w:sz w:val="20"/>
          <w:szCs w:val="20"/>
          <w:color w:val="auto"/>
        </w:rPr>
      </w:pPr>
      <w:r>
        <w:rPr>
          <w:rFonts w:ascii="Times New Roman" w:cs="Times New Roman" w:eastAsia="Times New Roman" w:hAnsi="Times New Roman"/>
          <w:sz w:val="12"/>
          <w:szCs w:val="12"/>
          <w:color w:val="auto"/>
        </w:rPr>
        <w:t>Mr. Kocher will be eligible to receive a performance bonus pursuant to Calavo’s Management Incentive Plan of 100% to 200% of his annual base salary for any fiscal year in which Calavo achieves the annual performance targets established by Calavo’s Compensation Committee for Calavo’s executive officers.</w:t>
      </w:r>
    </w:p>
    <w:p>
      <w:pPr>
        <w:spacing w:after="0" w:line="122" w:lineRule="exact"/>
        <w:rPr>
          <w:sz w:val="20"/>
          <w:szCs w:val="20"/>
          <w:color w:val="auto"/>
        </w:rPr>
      </w:pPr>
    </w:p>
    <w:p>
      <w:pPr>
        <w:ind w:left="20" w:right="499"/>
        <w:spacing w:after="0" w:line="279" w:lineRule="auto"/>
        <w:rPr>
          <w:sz w:val="20"/>
          <w:szCs w:val="20"/>
          <w:color w:val="auto"/>
        </w:rPr>
      </w:pPr>
      <w:r>
        <w:rPr>
          <w:rFonts w:ascii="Times New Roman" w:cs="Times New Roman" w:eastAsia="Times New Roman" w:hAnsi="Times New Roman"/>
          <w:sz w:val="12"/>
          <w:szCs w:val="12"/>
          <w:color w:val="auto"/>
        </w:rPr>
        <w:t>Beginning fiscal year 2022, Mr. Munsell will be eligible to receive a performance bonus of 60% of his annual base salary for any fiscal year in which Calavo achieves the annual performance targets established by Calavo’s Compensation Committee for Calavo’s executive officers.</w:t>
      </w:r>
    </w:p>
    <w:p>
      <w:pPr>
        <w:spacing w:after="0" w:line="111"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Mr. Dumas will be eligible to receive a performance bonus of 40% of his annual base salary for any fiscal year (prorated for fiscal 2022) in which Calavo achieves the annual performance targets established by Calavo’s Compensation Committee for Calavo’s executive officers.</w:t>
      </w:r>
    </w:p>
    <w:p>
      <w:pPr>
        <w:spacing w:after="0" w:line="111" w:lineRule="exact"/>
        <w:rPr>
          <w:sz w:val="20"/>
          <w:szCs w:val="20"/>
          <w:color w:val="auto"/>
        </w:rPr>
      </w:pPr>
    </w:p>
    <w:p>
      <w:pPr>
        <w:ind w:left="20" w:right="339"/>
        <w:spacing w:after="0" w:line="279" w:lineRule="auto"/>
        <w:rPr>
          <w:sz w:val="20"/>
          <w:szCs w:val="20"/>
          <w:color w:val="auto"/>
        </w:rPr>
      </w:pPr>
      <w:r>
        <w:rPr>
          <w:rFonts w:ascii="Times New Roman" w:cs="Times New Roman" w:eastAsia="Times New Roman" w:hAnsi="Times New Roman"/>
          <w:sz w:val="12"/>
          <w:szCs w:val="12"/>
          <w:color w:val="auto"/>
        </w:rPr>
        <w:t>Ms. Kurtz will receive a performance bonus of not less than 50% of her annual base salary for fiscal 2023 if Calavo achieves the annual performance targets established by Calavo’s Compensation Committee for Calavo’s executive officers, provided she remains employed by Calavo for the entire fiscal year.</w:t>
      </w:r>
    </w:p>
    <w:p>
      <w:pPr>
        <w:spacing w:after="0" w:line="111"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Ms. Montgomery will be eligible to receive a performance bonus of 40% of her annual base salary for any fiscal year in which Calavo achieves the annual performance targets established by Calavo’s Compensation Committee for Calavo’s executive officers.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Potential Payments Upon Termination or Change of Control:</w:t>
      </w:r>
    </w:p>
    <w:p>
      <w:pPr>
        <w:spacing w:after="0" w:line="152"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If Mr. Kocher’s employment is terminated without cause or upon good reason, Mr. Kocher will receive severance equal to one year of his annual base salary, Calavo-paid health benefits for one year following separation and a pro-rated portion of his annual bonus.</w:t>
      </w:r>
    </w:p>
    <w:p>
      <w:pPr>
        <w:spacing w:after="0" w:line="111"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color w:val="auto"/>
        </w:rPr>
        <w:t>If Mr. Munsell’s employment is terminated without cause or Mr. Munsell terminates his employment for good reason, Mr. Munsell will be entitled to receive severance payments equal to one year of his annual base salary, Calavo-paid health benefits for one year following separation, a pro-rated portion of his annual bonus, and the restricted stock units issued to Mr. Munsell as a signing bonus will become fully vested as of the date of termination.</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10"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If Mr. Dumas’ employment is terminated by Calavo without cause or Mr. Dumas terminates his employment for good reason, and Mr. Dumas executes a separation and release agreement, Mr. Dumas will be entitled to receive severance payments equal to one year of his annual base salary, Calavo-paid health benefits for one year following separation, a pro-rated portion of his annual bonus, and the restricted stock units issued to Mr. Dumas as a signing bonus will become fully vested as of the date of termination.</w:t>
      </w:r>
    </w:p>
    <w:p>
      <w:pPr>
        <w:spacing w:after="0" w:line="137" w:lineRule="exact"/>
        <w:rPr>
          <w:sz w:val="20"/>
          <w:szCs w:val="20"/>
          <w:color w:val="auto"/>
        </w:rPr>
      </w:pPr>
    </w:p>
    <w:p>
      <w:pPr>
        <w:jc w:val="both"/>
        <w:ind w:left="20" w:right="119"/>
        <w:spacing w:after="0" w:line="265" w:lineRule="auto"/>
        <w:rPr>
          <w:sz w:val="20"/>
          <w:szCs w:val="20"/>
          <w:color w:val="auto"/>
        </w:rPr>
      </w:pPr>
      <w:r>
        <w:rPr>
          <w:rFonts w:ascii="Times New Roman" w:cs="Times New Roman" w:eastAsia="Times New Roman" w:hAnsi="Times New Roman"/>
          <w:sz w:val="12"/>
          <w:szCs w:val="12"/>
          <w:color w:val="auto"/>
        </w:rPr>
        <w:t>If Ms. Kurtz’s employment is terminated by Calavo without cause or Ms. Kurtz terminates her employment for good reason, and Ms. Kurtz executes a separation and release agreement, Ms. Kurtz will be entitled to receive severance payments equal to one year of her annual base salary, Calavo-paid health benefits for one year following separation, a pro-rated portion of her annual bonus, and the restricted stock units issued to Ms. Kurtz as a signing bonus will become fully vested as of the date of termination.</w:t>
      </w:r>
    </w:p>
    <w:p>
      <w:pPr>
        <w:spacing w:after="0" w:line="119" w:lineRule="exact"/>
        <w:rPr>
          <w:sz w:val="20"/>
          <w:szCs w:val="20"/>
          <w:color w:val="auto"/>
        </w:rPr>
      </w:pPr>
    </w:p>
    <w:p>
      <w:pPr>
        <w:jc w:val="both"/>
        <w:ind w:left="20" w:right="199"/>
        <w:spacing w:after="0" w:line="265" w:lineRule="auto"/>
        <w:rPr>
          <w:sz w:val="20"/>
          <w:szCs w:val="20"/>
          <w:color w:val="auto"/>
        </w:rPr>
      </w:pPr>
      <w:r>
        <w:rPr>
          <w:rFonts w:ascii="Times New Roman" w:cs="Times New Roman" w:eastAsia="Times New Roman" w:hAnsi="Times New Roman"/>
          <w:sz w:val="12"/>
          <w:szCs w:val="12"/>
          <w:color w:val="auto"/>
        </w:rPr>
        <w:t>If Ms. Montgomery’s employment is terminated by Calavo without cause or Ms. Montgomery terminates her employment for good reason, and Ms. Montgomery executes a separation and release agreement, Ms. Montgomery will be entitled to receive severance payments equal to one year of her annual base salary, Calavo-paid health benefits for one year following separation, and a pro-rated portion of her annual bonus.</w:t>
      </w:r>
    </w:p>
    <w:p>
      <w:pPr>
        <w:spacing w:after="0" w:line="119"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The termination of Mariela Matute, Ronald Ariza and Robert Wedin did not trigger any payments. Similarly, the cessation of Mr. Hollister’s service as Interim Chief Executive Officer did not trigger any payments or benefits.</w:t>
      </w:r>
    </w:p>
    <w:p>
      <w:pPr>
        <w:spacing w:after="0" w:line="120"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2"/>
          <w:szCs w:val="12"/>
          <w:color w:val="auto"/>
        </w:rPr>
        <w:t>If a change of control of Calavo (as defined in the employment agreement) occurs and if the agreement entered into by Calavo with respect to the change of control does not provide for, on a basis determined by the Compensation Committee to be appropriate, (x) the continuation in full force and effect of the applicable awards that are outstanding as of the change of control, (y) the assumption in full by the Company’s successor in the change of control of such awards that are outstanding as of the change of control, or (z) the substitution by the Company’s successor in the change of control for such awards of new awards with substantially similar terms, including securities of the successor corporation or its “parent corporation” with appropriate adjustments as to the number and kinds of securities and exercise prices with respect to Options, SARs, Restricted Shares and RSUs, then</w:t>
      </w:r>
    </w:p>
    <w:p>
      <w:pPr>
        <w:spacing w:after="0" w:line="125" w:lineRule="exact"/>
        <w:rPr>
          <w:sz w:val="20"/>
          <w:szCs w:val="20"/>
          <w:color w:val="auto"/>
        </w:rPr>
      </w:pPr>
    </w:p>
    <w:p>
      <w:pPr>
        <w:ind w:left="20" w:right="99" w:firstLine="25"/>
        <w:spacing w:after="0" w:line="279" w:lineRule="auto"/>
        <w:tabs>
          <w:tab w:leader="none" w:pos="206"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outstanding Options or SARs then held that are unexercisable or otherwise unvested shall automatically be deemed exercisable or otherwise vested, as the case may be, effective immediately prior to, but conditioned on the consummation of, the change in control (see table below);</w:t>
      </w:r>
    </w:p>
    <w:p>
      <w:pPr>
        <w:spacing w:after="0" w:line="111" w:lineRule="exact"/>
        <w:rPr>
          <w:rFonts w:ascii="Times New Roman" w:cs="Times New Roman" w:eastAsia="Times New Roman" w:hAnsi="Times New Roman"/>
          <w:sz w:val="12"/>
          <w:szCs w:val="12"/>
          <w:color w:val="auto"/>
        </w:rPr>
      </w:pPr>
    </w:p>
    <w:p>
      <w:pPr>
        <w:ind w:left="20" w:right="39" w:firstLine="25"/>
        <w:spacing w:after="0" w:line="260" w:lineRule="auto"/>
        <w:tabs>
          <w:tab w:leader="none" w:pos="213"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awards designated as Performance Awards shall be paid out as if the date of the change of control were the last day of the applicable Performance Period and “target” performance levels had been attained; provided, however, that the Compensation Committee shall have discretion to cancel, without payment and effective as of the change of control, any or all outstanding Incentive Cash Awards that constitute Performance Awards if the change of control occurs prior to the completion of at least fifty percent of the Performance Period governing such Incentive Cash Awards; and</w:t>
      </w:r>
    </w:p>
    <w:p>
      <w:pPr>
        <w:spacing w:after="0" w:line="122" w:lineRule="exact"/>
        <w:rPr>
          <w:rFonts w:ascii="Times New Roman" w:cs="Times New Roman" w:eastAsia="Times New Roman" w:hAnsi="Times New Roman"/>
          <w:sz w:val="12"/>
          <w:szCs w:val="12"/>
          <w:color w:val="auto"/>
        </w:rPr>
      </w:pPr>
    </w:p>
    <w:p>
      <w:pPr>
        <w:jc w:val="both"/>
        <w:ind w:left="20" w:right="59" w:hanging="5"/>
        <w:spacing w:after="0" w:line="327" w:lineRule="auto"/>
        <w:tabs>
          <w:tab w:leader="none" w:pos="176"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other outstanding awards (i.e., other than Options, SARs and awards designated as Performance Awards) then held that are unexercisable, unvested or still subject to restrictions or forfeiture, shall automatically be deemed exercisable and vested and all restrictions and forfeiture provisions related to such awards shall lapse immediately prior to the change of control.</w:t>
      </w:r>
    </w:p>
    <w:p>
      <w:pPr>
        <w:spacing w:after="0" w:line="87" w:lineRule="exact"/>
        <w:rPr>
          <w:sz w:val="20"/>
          <w:szCs w:val="20"/>
          <w:color w:val="auto"/>
        </w:rPr>
      </w:pPr>
    </w:p>
    <w:p>
      <w:pPr>
        <w:ind w:left="20" w:right="19"/>
        <w:spacing w:after="0" w:line="279" w:lineRule="auto"/>
        <w:rPr>
          <w:sz w:val="20"/>
          <w:szCs w:val="20"/>
          <w:color w:val="auto"/>
        </w:rPr>
      </w:pPr>
      <w:r>
        <w:rPr>
          <w:rFonts w:ascii="Times New Roman" w:cs="Times New Roman" w:eastAsia="Times New Roman" w:hAnsi="Times New Roman"/>
          <w:sz w:val="12"/>
          <w:szCs w:val="12"/>
          <w:color w:val="auto"/>
        </w:rPr>
        <w:t>The below table summarizes as of October 31, 2022, the shares that would vest upon a change of control if it had hypothetically occurred on such date, per (a) above, and the market value of such shares based on the closing price on October 31, 2022 of $34.59.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jc w:val="right"/>
              <w:ind w:right="3265"/>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72"/>
        </w:trPr>
        <w:tc>
          <w:tcPr>
            <w:tcW w:w="1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28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 awards: number of unearned shares, units or</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940" w:type="dxa"/>
            <w:vAlign w:val="bottom"/>
          </w:tcPr>
          <w:p>
            <w:pPr>
              <w:jc w:val="right"/>
              <w:ind w:right="1365"/>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 awards:</w:t>
            </w:r>
          </w:p>
        </w:tc>
        <w:tc>
          <w:tcPr>
            <w:tcW w:w="0" w:type="dxa"/>
            <w:vAlign w:val="bottom"/>
          </w:tcPr>
          <w:p>
            <w:pPr>
              <w:spacing w:after="0"/>
              <w:rPr>
                <w:sz w:val="1"/>
                <w:szCs w:val="1"/>
                <w:color w:val="auto"/>
              </w:rPr>
            </w:pPr>
          </w:p>
        </w:tc>
      </w:tr>
      <w:tr>
        <w:trPr>
          <w:trHeight w:val="115"/>
        </w:trPr>
        <w:tc>
          <w:tcPr>
            <w:tcW w:w="1900" w:type="dxa"/>
            <w:vAlign w:val="bottom"/>
            <w:gridSpan w:val="2"/>
            <w:vMerge w:val="continue"/>
          </w:tcPr>
          <w:p>
            <w:pPr>
              <w:spacing w:after="0"/>
              <w:rPr>
                <w:sz w:val="10"/>
                <w:szCs w:val="10"/>
                <w:color w:val="auto"/>
              </w:rPr>
            </w:pPr>
          </w:p>
        </w:tc>
        <w:tc>
          <w:tcPr>
            <w:tcW w:w="2820" w:type="dxa"/>
            <w:vAlign w:val="bottom"/>
          </w:tcPr>
          <w:p>
            <w:pPr>
              <w:jc w:val="right"/>
              <w:ind w:right="624"/>
              <w:spacing w:after="0"/>
              <w:rPr>
                <w:sz w:val="20"/>
                <w:szCs w:val="20"/>
                <w:color w:val="auto"/>
              </w:rPr>
            </w:pPr>
            <w:r>
              <w:rPr>
                <w:rFonts w:ascii="Times New Roman" w:cs="Times New Roman" w:eastAsia="Times New Roman" w:hAnsi="Times New Roman"/>
                <w:sz w:val="10"/>
                <w:szCs w:val="10"/>
                <w:b w:val="1"/>
                <w:bCs w:val="1"/>
                <w:color w:val="auto"/>
              </w:rPr>
              <w:t>other rights that have not vested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4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w w:val="98"/>
              </w:rPr>
              <w:t>market or payout value of unearned shares, units or other rights that have not vested ($)</w:t>
            </w:r>
          </w:p>
        </w:tc>
        <w:tc>
          <w:tcPr>
            <w:tcW w:w="0" w:type="dxa"/>
            <w:vAlign w:val="bottom"/>
          </w:tcPr>
          <w:p>
            <w:pPr>
              <w:spacing w:after="0"/>
              <w:rPr>
                <w:sz w:val="1"/>
                <w:szCs w:val="1"/>
                <w:color w:val="auto"/>
              </w:rPr>
            </w:pPr>
          </w:p>
        </w:tc>
      </w:tr>
      <w:tr>
        <w:trPr>
          <w:trHeight w:val="133"/>
        </w:trPr>
        <w:tc>
          <w:tcPr>
            <w:tcW w:w="16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Brian Kocher</w:t>
            </w:r>
          </w:p>
        </w:tc>
        <w:tc>
          <w:tcPr>
            <w:tcW w:w="220" w:type="dxa"/>
            <w:vAlign w:val="bottom"/>
          </w:tcPr>
          <w:p>
            <w:pPr>
              <w:spacing w:after="0"/>
              <w:rPr>
                <w:sz w:val="11"/>
                <w:szCs w:val="11"/>
                <w:color w:val="auto"/>
              </w:rPr>
            </w:pPr>
          </w:p>
        </w:tc>
        <w:tc>
          <w:tcPr>
            <w:tcW w:w="2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50,333</w:t>
            </w:r>
          </w:p>
        </w:tc>
        <w:tc>
          <w:tcPr>
            <w:tcW w:w="200" w:type="dxa"/>
            <w:vAlign w:val="bottom"/>
          </w:tcPr>
          <w:p>
            <w:pPr>
              <w:spacing w:after="0"/>
              <w:rPr>
                <w:sz w:val="11"/>
                <w:szCs w:val="11"/>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2,000,000</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FFEE"/>
          </w:tcPr>
          <w:p>
            <w:pPr>
              <w:jc w:val="center"/>
              <w:ind w:right="220"/>
              <w:spacing w:after="0"/>
              <w:rPr>
                <w:sz w:val="20"/>
                <w:szCs w:val="20"/>
                <w:color w:val="auto"/>
              </w:rPr>
            </w:pPr>
            <w:r>
              <w:rPr>
                <w:rFonts w:ascii="Times New Roman" w:cs="Times New Roman" w:eastAsia="Times New Roman" w:hAnsi="Times New Roman"/>
                <w:sz w:val="12"/>
                <w:szCs w:val="12"/>
                <w:color w:val="auto"/>
              </w:rPr>
              <w:t>Shawn Munsell</w:t>
            </w:r>
          </w:p>
        </w:tc>
        <w:tc>
          <w:tcPr>
            <w:tcW w:w="28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9,002</w:t>
            </w:r>
          </w:p>
        </w:tc>
        <w:tc>
          <w:tcPr>
            <w:tcW w:w="320" w:type="dxa"/>
            <w:vAlign w:val="bottom"/>
            <w:gridSpan w:val="2"/>
            <w:shd w:val="clear" w:color="auto" w:fill="CCFFEE"/>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9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0" w:type="dxa"/>
            <w:vAlign w:val="bottom"/>
          </w:tcPr>
          <w:p>
            <w:pPr>
              <w:spacing w:after="0"/>
              <w:rPr>
                <w:sz w:val="1"/>
                <w:szCs w:val="1"/>
                <w:color w:val="auto"/>
              </w:rPr>
            </w:pPr>
          </w:p>
        </w:tc>
      </w:tr>
      <w:tr>
        <w:trPr>
          <w:trHeight w:val="144"/>
        </w:trPr>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Helen Kurtz</w:t>
            </w:r>
          </w:p>
        </w:tc>
        <w:tc>
          <w:tcPr>
            <w:tcW w:w="2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6,778</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FFEE"/>
          </w:tcPr>
          <w:p>
            <w:pPr>
              <w:jc w:val="center"/>
              <w:ind w:right="220"/>
              <w:spacing w:after="0"/>
              <w:rPr>
                <w:sz w:val="20"/>
                <w:szCs w:val="20"/>
                <w:color w:val="auto"/>
              </w:rPr>
            </w:pPr>
            <w:r>
              <w:rPr>
                <w:rFonts w:ascii="Times New Roman" w:cs="Times New Roman" w:eastAsia="Times New Roman" w:hAnsi="Times New Roman"/>
                <w:sz w:val="12"/>
                <w:szCs w:val="12"/>
                <w:color w:val="auto"/>
                <w:w w:val="98"/>
              </w:rPr>
              <w:t>Danny Dumas</w:t>
            </w:r>
          </w:p>
        </w:tc>
        <w:tc>
          <w:tcPr>
            <w:tcW w:w="282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3,533</w:t>
            </w:r>
          </w:p>
        </w:tc>
        <w:tc>
          <w:tcPr>
            <w:tcW w:w="320" w:type="dxa"/>
            <w:vAlign w:val="bottom"/>
            <w:gridSpan w:val="2"/>
            <w:shd w:val="clear" w:color="auto" w:fill="CCFFEE"/>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94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150,000</w:t>
            </w:r>
          </w:p>
        </w:tc>
        <w:tc>
          <w:tcPr>
            <w:tcW w:w="0" w:type="dxa"/>
            <w:vAlign w:val="bottom"/>
          </w:tcPr>
          <w:p>
            <w:pPr>
              <w:spacing w:after="0"/>
              <w:rPr>
                <w:sz w:val="1"/>
                <w:szCs w:val="1"/>
                <w:color w:val="auto"/>
              </w:rPr>
            </w:pPr>
          </w:p>
        </w:tc>
      </w:tr>
      <w:tr>
        <w:trPr>
          <w:trHeight w:val="155"/>
        </w:trPr>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Graciela Montgomery</w:t>
            </w:r>
          </w:p>
        </w:tc>
        <w:tc>
          <w:tcPr>
            <w:tcW w:w="2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3,734</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140,000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RISK</w:t>
      </w:r>
    </w:p>
    <w:p>
      <w:pPr>
        <w:spacing w:after="0" w:line="154" w:lineRule="exact"/>
        <w:rPr>
          <w:sz w:val="20"/>
          <w:szCs w:val="20"/>
          <w:color w:val="auto"/>
        </w:rPr>
      </w:pPr>
    </w:p>
    <w:p>
      <w:pPr>
        <w:ind w:left="20" w:right="39"/>
        <w:spacing w:after="0" w:line="257" w:lineRule="auto"/>
        <w:rPr>
          <w:sz w:val="20"/>
          <w:szCs w:val="20"/>
          <w:color w:val="auto"/>
        </w:rPr>
      </w:pPr>
      <w:r>
        <w:rPr>
          <w:rFonts w:ascii="Times New Roman" w:cs="Times New Roman" w:eastAsia="Times New Roman" w:hAnsi="Times New Roman"/>
          <w:sz w:val="12"/>
          <w:szCs w:val="12"/>
          <w:color w:val="auto"/>
        </w:rPr>
        <w:t>Our Compensation Committee reviewed the compensation policies and practices of Calavo that could have a material impact on Calavo. The Compensation Committee’s review considered whether any of these policies and practices may encourage inappropriate risk-taking, whether any policy or practice may give rise to risks that are reasonably likely to have a material adverse effect on us, and whether it would recommend any changes to the Calavo's compensation policies and practices. The Compensation Committee also reviewed with the Board risk-mitigating controls such as the degree of committee and senior management oversight of each compensation program and the level and design of internal controls over such programs. Based on these reviews, Calavo determined that risks arising from its compensation policies and practices are not reasonably likely to have a material adverse effect on Calavo.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54" w:lineRule="exact"/>
        <w:rPr>
          <w:sz w:val="20"/>
          <w:szCs w:val="20"/>
          <w:color w:val="auto"/>
        </w:rPr>
      </w:pPr>
    </w:p>
    <w:p>
      <w:pPr>
        <w:ind w:left="20" w:right="199"/>
        <w:spacing w:after="0" w:line="283" w:lineRule="auto"/>
        <w:rPr>
          <w:sz w:val="20"/>
          <w:szCs w:val="20"/>
          <w:color w:val="auto"/>
        </w:rPr>
      </w:pPr>
      <w:r>
        <w:rPr>
          <w:rFonts w:ascii="Times New Roman" w:cs="Times New Roman" w:eastAsia="Times New Roman" w:hAnsi="Times New Roman"/>
          <w:sz w:val="11"/>
          <w:szCs w:val="11"/>
          <w:color w:val="auto"/>
        </w:rPr>
        <w:t>Farha Aslam, Steven Hollister, Kathleen M. Holmgren, James Helin, Michael A. DiGregorio, and John Hunt served as members of our Compensation Committee during all or part of fiscal 2022. None of such committee members (1) was an officer or employee of Calavo or any of our subsidiaries during the time he or she served on the Compensation Committee or</w:t>
      </w:r>
    </w:p>
    <w:p>
      <w:pPr>
        <w:spacing w:after="0" w:line="1" w:lineRule="exact"/>
        <w:rPr>
          <w:sz w:val="20"/>
          <w:szCs w:val="20"/>
          <w:color w:val="auto"/>
        </w:rPr>
      </w:pPr>
    </w:p>
    <w:p>
      <w:pPr>
        <w:ind w:left="20" w:right="179" w:hanging="5"/>
        <w:spacing w:after="0" w:line="253" w:lineRule="auto"/>
        <w:tabs>
          <w:tab w:leader="none" w:pos="19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had any relationship requiring disclosure by us pursuant to Item 404 of Regulation S-K. None of the Company’s executive officers serves on the board of directors or compensation committee of a company that has an executive officer that serves as or served as a member of our Board or Compensation Committee. Farha Aslam served as Interim Chief Financial Officer and Steven Hollister served as Interim Chief Executive Officer for portions of fiscal year 2021 and 2022 and as Interim Chief Financial Officer for a portion of fiscal year 2021. Neither served on the Compensation Committee during the time of service as an interim officer of the Company.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CEO PAY RATIO</w:t>
      </w:r>
    </w:p>
    <w:p>
      <w:pPr>
        <w:spacing w:after="0" w:line="154" w:lineRule="exact"/>
        <w:rPr>
          <w:sz w:val="20"/>
          <w:szCs w:val="20"/>
          <w:color w:val="auto"/>
        </w:rPr>
      </w:pPr>
    </w:p>
    <w:p>
      <w:pPr>
        <w:ind w:left="20" w:right="219"/>
        <w:spacing w:after="0" w:line="279" w:lineRule="auto"/>
        <w:rPr>
          <w:sz w:val="20"/>
          <w:szCs w:val="20"/>
          <w:color w:val="auto"/>
        </w:rPr>
      </w:pPr>
      <w:r>
        <w:rPr>
          <w:rFonts w:ascii="Times New Roman" w:cs="Times New Roman" w:eastAsia="Times New Roman" w:hAnsi="Times New Roman"/>
          <w:sz w:val="12"/>
          <w:szCs w:val="12"/>
          <w:color w:val="auto"/>
        </w:rPr>
        <w:t>As required by applicable SEC rules, we are providing the following information about the relationship of the total annual compensation of our median compensated employee and the annual total compensation of our CEOs.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2022, our last completed fiscal year:</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total compensation of our “median employee” (other than our CEOs) was $15,489.</w:t>
      </w:r>
    </w:p>
    <w:p>
      <w:pPr>
        <w:spacing w:after="0" w:line="150" w:lineRule="exact"/>
        <w:rPr>
          <w:sz w:val="20"/>
          <w:szCs w:val="20"/>
          <w:color w:val="auto"/>
        </w:rPr>
      </w:pPr>
    </w:p>
    <w:p>
      <w:pPr>
        <w:ind w:left="20" w:right="279"/>
        <w:spacing w:after="0" w:line="279" w:lineRule="auto"/>
        <w:rPr>
          <w:sz w:val="20"/>
          <w:szCs w:val="20"/>
          <w:color w:val="auto"/>
        </w:rPr>
      </w:pPr>
      <w:r>
        <w:rPr>
          <w:rFonts w:ascii="Times New Roman" w:cs="Times New Roman" w:eastAsia="Times New Roman" w:hAnsi="Times New Roman"/>
          <w:sz w:val="12"/>
          <w:szCs w:val="12"/>
          <w:color w:val="auto"/>
        </w:rPr>
        <w:t>The total annual compensation of our CEO and our Interim CEO (but excluding the compensation paid for his service as a director), as reported in the Summary Compensation Table included elsewhere in this proxy was combined together and this totaled $3,226,429.</w:t>
      </w:r>
    </w:p>
    <w:p>
      <w:pPr>
        <w:spacing w:after="0" w:line="66"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Based on this information, for fiscal year 2022 the ratio of the annual total compensation of our CEO to the annual total compensation of our median employee was 208 to 1. We took the following steps to identify the median employee, as well as to determine the annual total compensation of our median employee and our CEO:</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right="159" w:hanging="209"/>
        <w:spacing w:after="0" w:line="256" w:lineRule="auto"/>
        <w:tabs>
          <w:tab w:leader="none" w:pos="4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used October 31, 2022, as the date upon which we identified the “median employee”. We determined that, for fiscal year 2022, our employee population consisted of 4,870 individuals. This population consisted of full time, part time and seasonal employees employed with us at any point in fiscal 2022. 51% of the total employee population was located in Mexico. The remaining 49% of the total employee population was located in the United States.</w:t>
      </w:r>
    </w:p>
    <w:p>
      <w:pPr>
        <w:spacing w:after="0" w:line="1" w:lineRule="exact"/>
        <w:rPr>
          <w:rFonts w:ascii="Times New Roman" w:cs="Times New Roman" w:eastAsia="Times New Roman" w:hAnsi="Times New Roman"/>
          <w:sz w:val="12"/>
          <w:szCs w:val="12"/>
          <w:color w:val="auto"/>
        </w:rPr>
      </w:pPr>
    </w:p>
    <w:p>
      <w:pPr>
        <w:ind w:left="440" w:right="199" w:hanging="209"/>
        <w:spacing w:after="0" w:line="255" w:lineRule="auto"/>
        <w:tabs>
          <w:tab w:leader="none" w:pos="4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annual total compensation of our median employee, we identified and calculated the elements of that employee's compensation for 2022 in accordance with the requirements of Item 402(c)(2)(x), resulting in annual total compensation of $15,489. Since the median employee is located in Mexico, we converted the employee's pay from Mexican pesos to U.S. dollars using the average published interbank exchange rate of 20.01 pesos per U.S. dollar during fiscal 2022.</w:t>
      </w:r>
    </w:p>
    <w:p>
      <w:pPr>
        <w:spacing w:after="0" w:line="53" w:lineRule="exact"/>
        <w:rPr>
          <w:rFonts w:ascii="Times New Roman" w:cs="Times New Roman" w:eastAsia="Times New Roman" w:hAnsi="Times New Roman"/>
          <w:sz w:val="12"/>
          <w:szCs w:val="12"/>
          <w:color w:val="auto"/>
        </w:rPr>
      </w:pPr>
    </w:p>
    <w:p>
      <w:pPr>
        <w:ind w:left="440" w:right="139" w:hanging="209"/>
        <w:spacing w:after="0" w:line="279" w:lineRule="auto"/>
        <w:tabs>
          <w:tab w:leader="none" w:pos="4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annual total compensation of our CEO and interim CEO, we used the total combined amount reported in the “Total” column of our 2022 Summary Compensation Table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PRINCIPAL AUDITOR FEES AND SERVICES</w:t>
      </w:r>
    </w:p>
    <w:p>
      <w:pPr>
        <w:spacing w:after="0" w:line="154"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The Audit Committee appointed Deloitte &amp; Touche LLP as our independent registered public accounting firm for the fiscal year ending October 31, 2023. Representatives of Deloitte &amp; Touche LLP are expected to be present at the Annual Meeting, will have the opportunity to make a statement if they desire to do so, and are expected to be available to respond to appropriate questions.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Fees Incurred by Calavo Growers, Inc. to Deloitte &amp; Touche LLP</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shows the fees paid or accrued by us for audit and other services provided by Deloitte &amp; Touche LLP for fiscal 2022 and 2021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1340" w:type="dxa"/>
            <w:vAlign w:val="bottom"/>
            <w:tcBorders>
              <w:bottom w:val="single" w:sz="8" w:color="CCFFEE"/>
            </w:tcBorders>
          </w:tcPr>
          <w:p>
            <w:pPr>
              <w:spacing w:after="0"/>
              <w:rPr>
                <w:sz w:val="10"/>
                <w:szCs w:val="10"/>
                <w:color w:val="auto"/>
              </w:rPr>
            </w:pPr>
          </w:p>
        </w:tc>
        <w:tc>
          <w:tcPr>
            <w:tcW w:w="4420" w:type="dxa"/>
            <w:vAlign w:val="bottom"/>
            <w:tcBorders>
              <w:bottom w:val="single" w:sz="8" w:color="CCFFEE"/>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FFEE"/>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900" w:type="dxa"/>
            <w:vAlign w:val="bottom"/>
          </w:tcPr>
          <w:p>
            <w:pPr>
              <w:spacing w:after="0"/>
              <w:rPr>
                <w:sz w:val="11"/>
                <w:szCs w:val="11"/>
                <w:color w:val="auto"/>
              </w:rPr>
            </w:pPr>
          </w:p>
        </w:tc>
        <w:tc>
          <w:tcPr>
            <w:tcW w:w="1340" w:type="dxa"/>
            <w:vAlign w:val="bottom"/>
            <w:shd w:val="clear" w:color="auto" w:fill="CCFFEE"/>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Audit Fees </w:t>
            </w:r>
            <w:r>
              <w:rPr>
                <w:rFonts w:ascii="Times New Roman" w:cs="Times New Roman" w:eastAsia="Times New Roman" w:hAnsi="Times New Roman"/>
                <w:sz w:val="15"/>
                <w:szCs w:val="15"/>
                <w:color w:val="auto"/>
                <w:vertAlign w:val="superscript"/>
              </w:rPr>
              <w:t>(1)</w:t>
            </w:r>
          </w:p>
        </w:tc>
        <w:tc>
          <w:tcPr>
            <w:tcW w:w="4420" w:type="dxa"/>
            <w:vAlign w:val="bottom"/>
            <w:shd w:val="clear" w:color="auto" w:fill="CCFFEE"/>
          </w:tcPr>
          <w:p>
            <w:pPr>
              <w:spacing w:after="0"/>
              <w:rPr>
                <w:sz w:val="11"/>
                <w:szCs w:val="11"/>
                <w:color w:val="auto"/>
              </w:rPr>
            </w:pPr>
          </w:p>
        </w:tc>
        <w:tc>
          <w:tcPr>
            <w:tcW w:w="120" w:type="dxa"/>
            <w:vAlign w:val="bottom"/>
            <w:shd w:val="clear" w:color="auto" w:fill="CCFFEE"/>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1,927</w:t>
            </w:r>
          </w:p>
        </w:tc>
        <w:tc>
          <w:tcPr>
            <w:tcW w:w="180" w:type="dxa"/>
            <w:vAlign w:val="bottom"/>
            <w:shd w:val="clear" w:color="auto" w:fill="CCFFEE"/>
          </w:tcPr>
          <w:p>
            <w:pPr>
              <w:spacing w:after="0"/>
              <w:rPr>
                <w:sz w:val="11"/>
                <w:szCs w:val="11"/>
                <w:color w:val="auto"/>
              </w:rPr>
            </w:pPr>
          </w:p>
        </w:tc>
        <w:tc>
          <w:tcPr>
            <w:tcW w:w="140" w:type="dxa"/>
            <w:vAlign w:val="bottom"/>
            <w:shd w:val="clear" w:color="auto" w:fill="CCFFEE"/>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1,667</w:t>
            </w:r>
          </w:p>
        </w:tc>
      </w:tr>
      <w:tr>
        <w:trPr>
          <w:trHeight w:val="144"/>
        </w:trPr>
        <w:tc>
          <w:tcPr>
            <w:tcW w:w="9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2"/>
                <w:szCs w:val="12"/>
                <w:color w:val="auto"/>
              </w:rPr>
              <w:t>Audit-Related Fees</w:t>
            </w: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900" w:type="dxa"/>
            <w:vAlign w:val="bottom"/>
          </w:tcPr>
          <w:p>
            <w:pPr>
              <w:spacing w:after="0"/>
              <w:rPr>
                <w:sz w:val="12"/>
                <w:szCs w:val="12"/>
                <w:color w:val="auto"/>
              </w:rPr>
            </w:pPr>
          </w:p>
        </w:tc>
        <w:tc>
          <w:tcPr>
            <w:tcW w:w="1340" w:type="dxa"/>
            <w:vAlign w:val="bottom"/>
            <w:shd w:val="clear" w:color="auto" w:fill="CCFFEE"/>
          </w:tcPr>
          <w:p>
            <w:pPr>
              <w:spacing w:after="0" w:line="144" w:lineRule="exact"/>
              <w:rPr>
                <w:sz w:val="20"/>
                <w:szCs w:val="20"/>
                <w:color w:val="auto"/>
              </w:rPr>
            </w:pPr>
            <w:r>
              <w:rPr>
                <w:rFonts w:ascii="Times New Roman" w:cs="Times New Roman" w:eastAsia="Times New Roman" w:hAnsi="Times New Roman"/>
                <w:sz w:val="11"/>
                <w:szCs w:val="11"/>
                <w:color w:val="auto"/>
              </w:rPr>
              <w:t xml:space="preserve">Tax Fees </w:t>
            </w:r>
            <w:r>
              <w:rPr>
                <w:rFonts w:ascii="Times New Roman" w:cs="Times New Roman" w:eastAsia="Times New Roman" w:hAnsi="Times New Roman"/>
                <w:sz w:val="16"/>
                <w:szCs w:val="16"/>
                <w:color w:val="auto"/>
                <w:vertAlign w:val="superscript"/>
              </w:rPr>
              <w:t>(2)</w:t>
            </w:r>
          </w:p>
        </w:tc>
        <w:tc>
          <w:tcPr>
            <w:tcW w:w="4420" w:type="dxa"/>
            <w:vAlign w:val="bottom"/>
            <w:shd w:val="clear" w:color="auto" w:fill="CCFFEE"/>
          </w:tcPr>
          <w:p>
            <w:pPr>
              <w:spacing w:after="0"/>
              <w:rPr>
                <w:sz w:val="12"/>
                <w:szCs w:val="12"/>
                <w:color w:val="auto"/>
              </w:rPr>
            </w:pPr>
          </w:p>
        </w:tc>
        <w:tc>
          <w:tcPr>
            <w:tcW w:w="120" w:type="dxa"/>
            <w:vAlign w:val="bottom"/>
            <w:shd w:val="clear" w:color="auto" w:fill="CCFFEE"/>
          </w:tcPr>
          <w:p>
            <w:pPr>
              <w:spacing w:after="0"/>
              <w:rPr>
                <w:sz w:val="12"/>
                <w:szCs w:val="12"/>
                <w:color w:val="auto"/>
              </w:rPr>
            </w:pPr>
          </w:p>
        </w:tc>
        <w:tc>
          <w:tcPr>
            <w:tcW w:w="48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180" w:type="dxa"/>
            <w:vAlign w:val="bottom"/>
            <w:shd w:val="clear" w:color="auto" w:fill="CCFFEE"/>
          </w:tcPr>
          <w:p>
            <w:pPr>
              <w:spacing w:after="0"/>
              <w:rPr>
                <w:sz w:val="12"/>
                <w:szCs w:val="12"/>
                <w:color w:val="auto"/>
              </w:rPr>
            </w:pPr>
          </w:p>
        </w:tc>
        <w:tc>
          <w:tcPr>
            <w:tcW w:w="140" w:type="dxa"/>
            <w:vAlign w:val="bottom"/>
            <w:shd w:val="clear" w:color="auto" w:fill="CCFFEE"/>
          </w:tcPr>
          <w:p>
            <w:pPr>
              <w:spacing w:after="0"/>
              <w:rPr>
                <w:sz w:val="12"/>
                <w:szCs w:val="12"/>
                <w:color w:val="auto"/>
              </w:rPr>
            </w:pPr>
          </w:p>
        </w:tc>
        <w:tc>
          <w:tcPr>
            <w:tcW w:w="500" w:type="dxa"/>
            <w:vAlign w:val="bottom"/>
            <w:shd w:val="clear" w:color="auto" w:fill="CCFFEE"/>
          </w:tcPr>
          <w:p>
            <w:pPr>
              <w:jc w:val="right"/>
              <w:spacing w:after="0"/>
              <w:rPr>
                <w:sz w:val="20"/>
                <w:szCs w:val="20"/>
                <w:color w:val="auto"/>
              </w:rPr>
            </w:pPr>
            <w:r>
              <w:rPr>
                <w:rFonts w:ascii="Times New Roman" w:cs="Times New Roman" w:eastAsia="Times New Roman" w:hAnsi="Times New Roman"/>
                <w:sz w:val="12"/>
                <w:szCs w:val="12"/>
                <w:color w:val="auto"/>
              </w:rPr>
              <w:t>396</w:t>
            </w:r>
          </w:p>
        </w:tc>
      </w:tr>
      <w:tr>
        <w:trPr>
          <w:trHeight w:val="144"/>
        </w:trPr>
        <w:tc>
          <w:tcPr>
            <w:tcW w:w="900" w:type="dxa"/>
            <w:vAlign w:val="bottom"/>
          </w:tcPr>
          <w:p>
            <w:pPr>
              <w:spacing w:after="0"/>
              <w:rPr>
                <w:sz w:val="12"/>
                <w:szCs w:val="12"/>
                <w:color w:val="auto"/>
              </w:rPr>
            </w:pPr>
          </w:p>
        </w:tc>
        <w:tc>
          <w:tcPr>
            <w:tcW w:w="1340" w:type="dxa"/>
            <w:vAlign w:val="bottom"/>
            <w:tcBorders>
              <w:bottom w:val="single" w:sz="8" w:color="CCFFEE"/>
            </w:tcBorders>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4420" w:type="dxa"/>
            <w:vAlign w:val="bottom"/>
            <w:tcBorders>
              <w:bottom w:val="single" w:sz="8" w:color="CCFFEE"/>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FFEE"/>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900" w:type="dxa"/>
            <w:vAlign w:val="bottom"/>
          </w:tcPr>
          <w:p>
            <w:pPr>
              <w:spacing w:after="0"/>
              <w:rPr>
                <w:sz w:val="12"/>
                <w:szCs w:val="12"/>
                <w:color w:val="auto"/>
              </w:rPr>
            </w:pPr>
          </w:p>
        </w:tc>
        <w:tc>
          <w:tcPr>
            <w:tcW w:w="1340" w:type="dxa"/>
            <w:vAlign w:val="bottom"/>
            <w:tcBorders>
              <w:bottom w:val="single" w:sz="8" w:color="CCFFEE"/>
            </w:tcBorders>
            <w:shd w:val="clear" w:color="auto" w:fill="CCFFEE"/>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4420" w:type="dxa"/>
            <w:vAlign w:val="bottom"/>
            <w:tcBorders>
              <w:bottom w:val="single" w:sz="8" w:color="CCFFEE"/>
            </w:tcBorders>
            <w:shd w:val="clear" w:color="auto" w:fill="CCFFEE"/>
          </w:tcPr>
          <w:p>
            <w:pPr>
              <w:spacing w:after="0"/>
              <w:rPr>
                <w:sz w:val="12"/>
                <w:szCs w:val="12"/>
                <w:color w:val="auto"/>
              </w:rPr>
            </w:pPr>
          </w:p>
        </w:tc>
        <w:tc>
          <w:tcPr>
            <w:tcW w:w="120" w:type="dxa"/>
            <w:vAlign w:val="bottom"/>
            <w:tcBorders>
              <w:bottom w:val="single" w:sz="8" w:color="auto"/>
            </w:tcBorders>
            <w:shd w:val="clear" w:color="auto" w:fill="CCFFEE"/>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2,207</w:t>
            </w:r>
          </w:p>
        </w:tc>
        <w:tc>
          <w:tcPr>
            <w:tcW w:w="180" w:type="dxa"/>
            <w:vAlign w:val="bottom"/>
            <w:tcBorders>
              <w:bottom w:val="single" w:sz="8" w:color="CCFFEE"/>
            </w:tcBorders>
            <w:shd w:val="clear" w:color="auto" w:fill="CCFFEE"/>
          </w:tcPr>
          <w:p>
            <w:pPr>
              <w:spacing w:after="0"/>
              <w:rPr>
                <w:sz w:val="12"/>
                <w:szCs w:val="12"/>
                <w:color w:val="auto"/>
              </w:rPr>
            </w:pPr>
          </w:p>
        </w:tc>
        <w:tc>
          <w:tcPr>
            <w:tcW w:w="140" w:type="dxa"/>
            <w:vAlign w:val="bottom"/>
            <w:tcBorders>
              <w:bottom w:val="single" w:sz="8" w:color="auto"/>
            </w:tcBorders>
            <w:shd w:val="clear" w:color="auto" w:fill="CCFFEE"/>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FFEE"/>
          </w:tcPr>
          <w:p>
            <w:pPr>
              <w:jc w:val="right"/>
              <w:spacing w:after="0" w:line="133" w:lineRule="exact"/>
              <w:rPr>
                <w:sz w:val="20"/>
                <w:szCs w:val="20"/>
                <w:color w:val="auto"/>
              </w:rPr>
            </w:pPr>
            <w:r>
              <w:rPr>
                <w:rFonts w:ascii="Times New Roman" w:cs="Times New Roman" w:eastAsia="Times New Roman" w:hAnsi="Times New Roman"/>
                <w:sz w:val="12"/>
                <w:szCs w:val="12"/>
                <w:color w:val="auto"/>
              </w:rPr>
              <w:t>2,063</w:t>
            </w:r>
          </w:p>
        </w:tc>
      </w:tr>
      <w:tr>
        <w:trPr>
          <w:trHeight w:val="72"/>
        </w:trPr>
        <w:tc>
          <w:tcPr>
            <w:tcW w:w="9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r>
    </w:tbl>
    <w:p>
      <w:pPr>
        <w:spacing w:after="0" w:line="49" w:lineRule="exact"/>
        <w:rPr>
          <w:sz w:val="20"/>
          <w:szCs w:val="20"/>
          <w:color w:val="auto"/>
        </w:rPr>
      </w:pPr>
    </w:p>
    <w:p>
      <w:pPr>
        <w:ind w:left="240" w:right="239" w:hanging="225"/>
        <w:spacing w:after="0" w:line="232" w:lineRule="auto"/>
        <w:tabs>
          <w:tab w:leader="none" w:pos="2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74" w:lineRule="exact"/>
        <w:rPr>
          <w:rFonts w:ascii="Times New Roman" w:cs="Times New Roman" w:eastAsia="Times New Roman" w:hAnsi="Times New Roman"/>
          <w:sz w:val="10"/>
          <w:szCs w:val="10"/>
          <w:color w:val="auto"/>
        </w:rPr>
      </w:pPr>
    </w:p>
    <w:p>
      <w:pPr>
        <w:ind w:left="240" w:right="159" w:hanging="225"/>
        <w:spacing w:after="0" w:line="232" w:lineRule="auto"/>
        <w:tabs>
          <w:tab w:leader="none" w:pos="24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fiscal year 2022, tax fees principally included tax compliance fees of approximately $268,000, and tax advice fees totaling approximately $12,000. For fiscal year 2021, tax fees principally included tax compliance fees of approximately $348,000, and tax advice fees totaling approximately $48,000.</w:t>
      </w:r>
    </w:p>
    <w:p>
      <w:pPr>
        <w:spacing w:after="0" w:line="123"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Audit Committee has concluded the provision of the non-audit services listed above is compatible with maintaining the independence of Deloitte &amp; Touche LLP.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THE AUDIT COMMITTEE OF THE BOARD OF DIRECTORS</w:t>
      </w:r>
    </w:p>
    <w:p>
      <w:pPr>
        <w:spacing w:after="0" w:line="154" w:lineRule="exact"/>
        <w:rPr>
          <w:sz w:val="20"/>
          <w:szCs w:val="20"/>
          <w:color w:val="auto"/>
        </w:rPr>
      </w:pPr>
    </w:p>
    <w:p>
      <w:pPr>
        <w:ind w:left="20" w:right="59"/>
        <w:spacing w:after="0" w:line="256" w:lineRule="auto"/>
        <w:rPr>
          <w:sz w:val="20"/>
          <w:szCs w:val="20"/>
          <w:color w:val="auto"/>
        </w:rPr>
      </w:pPr>
      <w:r>
        <w:rPr>
          <w:rFonts w:ascii="Times New Roman" w:cs="Times New Roman" w:eastAsia="Times New Roman" w:hAnsi="Times New Roman"/>
          <w:sz w:val="12"/>
          <w:szCs w:val="12"/>
          <w:color w:val="auto"/>
        </w:rPr>
        <w:t>The Audit Committee has the responsibilities set forth in the Audit Committee Charter which include but are not limited to, representing and assisting the Board in fulfilling its responsibilities for general oversight of the integrity of our financial statements, our compliance with legal and regulatory requirements, the independent registered public accounting firm's qualifications and independence, the performance of our internal audit function and independent registered public accounting firm, and risk assessment and risk management. The Audit Committee also manages our relationship with our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Calavo for such advice and assistance.</w:t>
      </w:r>
    </w:p>
    <w:p>
      <w:pPr>
        <w:spacing w:after="0" w:line="125" w:lineRule="exact"/>
        <w:rPr>
          <w:sz w:val="20"/>
          <w:szCs w:val="20"/>
          <w:color w:val="auto"/>
        </w:rPr>
      </w:pPr>
    </w:p>
    <w:p>
      <w:pPr>
        <w:ind w:left="20" w:right="139"/>
        <w:spacing w:after="0" w:line="260" w:lineRule="auto"/>
        <w:rPr>
          <w:sz w:val="20"/>
          <w:szCs w:val="20"/>
          <w:color w:val="auto"/>
        </w:rPr>
      </w:pPr>
      <w:r>
        <w:rPr>
          <w:rFonts w:ascii="Times New Roman" w:cs="Times New Roman" w:eastAsia="Times New Roman" w:hAnsi="Times New Roman"/>
          <w:sz w:val="12"/>
          <w:szCs w:val="12"/>
          <w:color w:val="auto"/>
        </w:rPr>
        <w:t>Our management is primarily responsible for our internal control and financial reporting process. Our independent registered public accounting firm, Deloitte &amp; Touche LLP, is responsible for performing an independent audit of our consolidated financial statements and issuing opinions on the conformity of those audited financial statements with United States generally accepted accounting principles and the effectiveness of our internal control over financial reporting. The Audit Committee monitors our financial reporting process and reports to the Board on its findings.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this context, the Audit Committee hereby reports as follows:</w:t>
      </w:r>
    </w:p>
    <w:p>
      <w:pPr>
        <w:spacing w:after="0" w:line="150" w:lineRule="exact"/>
        <w:rPr>
          <w:sz w:val="20"/>
          <w:szCs w:val="20"/>
          <w:color w:val="auto"/>
        </w:rPr>
      </w:pPr>
    </w:p>
    <w:p>
      <w:pPr>
        <w:ind w:left="160" w:hanging="145"/>
        <w:spacing w:after="0"/>
        <w:tabs>
          <w:tab w:leader="none" w:pos="16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reviewed and discussed the audited financial statements with our management.</w:t>
      </w:r>
    </w:p>
    <w:p>
      <w:pPr>
        <w:spacing w:after="0" w:line="150" w:lineRule="exact"/>
        <w:rPr>
          <w:rFonts w:ascii="Times New Roman" w:cs="Times New Roman" w:eastAsia="Times New Roman" w:hAnsi="Times New Roman"/>
          <w:sz w:val="12"/>
          <w:szCs w:val="12"/>
          <w:color w:val="auto"/>
        </w:rPr>
      </w:pPr>
    </w:p>
    <w:p>
      <w:pPr>
        <w:ind w:left="20" w:right="239" w:hanging="5"/>
        <w:spacing w:after="0" w:line="279" w:lineRule="auto"/>
        <w:tabs>
          <w:tab w:leader="none" w:pos="17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discussed with the independent registered public accounting firm the matters required to be discussed by Auditing Standard No. 1301, “Communications with Audit Committees,” as adopted by the Public Company Accounting Oversight Board (the "</w:t>
      </w:r>
      <w:r>
        <w:rPr>
          <w:rFonts w:ascii="Times New Roman" w:cs="Times New Roman" w:eastAsia="Times New Roman" w:hAnsi="Times New Roman"/>
          <w:sz w:val="12"/>
          <w:szCs w:val="12"/>
          <w:b w:val="1"/>
          <w:bCs w:val="1"/>
          <w:color w:val="auto"/>
        </w:rPr>
        <w:t>PCAOB</w:t>
      </w:r>
      <w:r>
        <w:rPr>
          <w:rFonts w:ascii="Times New Roman" w:cs="Times New Roman" w:eastAsia="Times New Roman" w:hAnsi="Times New Roman"/>
          <w:sz w:val="12"/>
          <w:szCs w:val="12"/>
          <w:color w:val="auto"/>
        </w:rPr>
        <w:t>") and applicable requirements of the SEC.</w:t>
      </w:r>
    </w:p>
    <w:p>
      <w:pPr>
        <w:spacing w:after="0" w:line="111" w:lineRule="exact"/>
        <w:rPr>
          <w:rFonts w:ascii="Times New Roman" w:cs="Times New Roman" w:eastAsia="Times New Roman" w:hAnsi="Times New Roman"/>
          <w:sz w:val="12"/>
          <w:szCs w:val="12"/>
          <w:color w:val="auto"/>
        </w:rPr>
      </w:pPr>
    </w:p>
    <w:p>
      <w:pPr>
        <w:ind w:left="20" w:right="59" w:hanging="5"/>
        <w:spacing w:after="0" w:line="265" w:lineRule="auto"/>
        <w:tabs>
          <w:tab w:leader="none" w:pos="17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the Audit Committee has discussed with the independent registered public accounting firm its independence.</w:t>
      </w:r>
    </w:p>
    <w:p>
      <w:pPr>
        <w:spacing w:after="0" w:line="118" w:lineRule="exact"/>
        <w:rPr>
          <w:rFonts w:ascii="Times New Roman" w:cs="Times New Roman" w:eastAsia="Times New Roman" w:hAnsi="Times New Roman"/>
          <w:sz w:val="12"/>
          <w:szCs w:val="12"/>
          <w:color w:val="auto"/>
        </w:rPr>
      </w:pPr>
    </w:p>
    <w:p>
      <w:pPr>
        <w:ind w:left="20" w:right="219" w:hanging="5"/>
        <w:spacing w:after="0" w:line="279" w:lineRule="auto"/>
        <w:tabs>
          <w:tab w:leader="none" w:pos="17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the review and discussions referred to in paragraphs (1) through (3) above, the Audit Committee recommended to the Board, and the Board has approved, that the audited financial statements be included in our Annual Report on Form 10-K for the fiscal year ended October 31, 2022, for filing with the Securities and Exchange Commission.</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undersigned members of the Audit Committee have submitted this Report to the Board of Directors.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Michael A. DiGregorio, Chairman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Marc Brown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Adriana Mendizabal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0" w:lineRule="exact"/>
        <w:rPr>
          <w:sz w:val="20"/>
          <w:szCs w:val="20"/>
          <w:color w:val="auto"/>
        </w:rPr>
      </w:pPr>
    </w:p>
    <w:p>
      <w:pPr>
        <w:ind w:left="20" w:right="179"/>
        <w:spacing w:after="0" w:line="262" w:lineRule="auto"/>
        <w:rPr>
          <w:sz w:val="20"/>
          <w:szCs w:val="20"/>
          <w:color w:val="auto"/>
        </w:rPr>
      </w:pPr>
      <w:r>
        <w:rPr>
          <w:rFonts w:ascii="Times New Roman" w:cs="Times New Roman" w:eastAsia="Times New Roman" w:hAnsi="Times New Roman"/>
          <w:sz w:val="12"/>
          <w:szCs w:val="12"/>
          <w:b w:val="1"/>
          <w:bCs w:val="1"/>
          <w:color w:val="auto"/>
        </w:rPr>
        <w:t>SHAREHOLDERS ENTITLED TO VOTE AT THE ANNUAL MEETING MAY OBTAIN, WITHOUT CHARGE, A COPY OF OUR ANNUAL REPORT ON FORM 10-K FOR THE FISCAL YEAR ENDED OCTOBER 31, 2022, OTHER THAN EXHIBITS TO SUCH REPORT, UPON WRITTEN REQUEST BY EMAIL TO 2023PROXY@CALAVO.COM. WE WILL ALSO FURNISH TO SUCH PERSONS A COPY OF ANY EXHIBITS TO OUR ANNUAL REPORT ON FORM 10-K FOR A FEE OF $.20 PER PAGE, PAYABLE IN ADVANCE. THIS FEE COVERS ONLY OUR REASONABLE EXPENSES IN FURNISHING THE EXHIBITS.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CALAVO GROWERS,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FOR THE ANNUAL MEETING OF SHAREHOLDERS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APRIL 26,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PROXY IS SOLICITED ON BEHALF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w:t>
      </w:r>
    </w:p>
    <w:p>
      <w:pPr>
        <w:spacing w:after="0" w:line="143" w:lineRule="exact"/>
        <w:rPr>
          <w:sz w:val="20"/>
          <w:szCs w:val="20"/>
          <w:color w:val="auto"/>
        </w:rPr>
      </w:pPr>
    </w:p>
    <w:p>
      <w:pPr>
        <w:ind w:left="20" w:right="79"/>
        <w:spacing w:after="0" w:line="255" w:lineRule="auto"/>
        <w:rPr>
          <w:sz w:val="20"/>
          <w:szCs w:val="20"/>
          <w:color w:val="auto"/>
        </w:rPr>
      </w:pPr>
      <w:r>
        <w:rPr>
          <w:rFonts w:ascii="Times New Roman" w:cs="Times New Roman" w:eastAsia="Times New Roman" w:hAnsi="Times New Roman"/>
          <w:sz w:val="14"/>
          <w:szCs w:val="14"/>
          <w:color w:val="auto"/>
        </w:rPr>
        <w:t>The undersigned hereby appoints Steven Hollister and J. Link Leavens, as attorneys, agents and proxies of the undersigned, with full power of substitution and power to act alone, to act as proxy or proxies of the undersigned at the Annual Meeting of Shareholders of Calavo Growers, Inc. to be held on Wednesday, April 26, 2023 at 1:00 p.m., and at any and all adjournments or postponements thereof, and to vote as specified herein the number of shares which the undersigned, if personally present, would be entitled to vote.</w:t>
      </w:r>
    </w:p>
    <w:p>
      <w:pPr>
        <w:spacing w:after="0" w:line="124" w:lineRule="exact"/>
        <w:rPr>
          <w:sz w:val="20"/>
          <w:szCs w:val="20"/>
          <w:color w:val="auto"/>
        </w:rPr>
      </w:pPr>
    </w:p>
    <w:p>
      <w:pPr>
        <w:ind w:left="20" w:right="259"/>
        <w:spacing w:after="0" w:line="256" w:lineRule="auto"/>
        <w:rPr>
          <w:sz w:val="20"/>
          <w:szCs w:val="20"/>
          <w:color w:val="auto"/>
        </w:rPr>
      </w:pPr>
      <w:r>
        <w:rPr>
          <w:rFonts w:ascii="Times New Roman" w:cs="Times New Roman" w:eastAsia="Times New Roman" w:hAnsi="Times New Roman"/>
          <w:sz w:val="14"/>
          <w:szCs w:val="14"/>
          <w:b w:val="1"/>
          <w:bCs w:val="1"/>
          <w:color w:val="auto"/>
        </w:rPr>
        <w:t>THE BOARD OF DIRECTORS UNANIMOUSLY RECOMMENDS A VOTE (1) “FOR” THE ELECTION OF THE NINE DIRECTORS NOMINATED BY THE BOARD OF DIRECTORS AND NAMED ON THE REVERSE SIDE OF THIS PROXY, (2) “FOR” RATIFICATION OF THE APPOINTMENT OF DELOITTE &amp; TOUCHE LLP AND (3) “FOR” ADVISORY APPROVAL OF THE EXECUTIVE COMPENSATION DISCLOSED IN THE ACCOMPANYING PROXY STATEMENT.</w:t>
      </w:r>
    </w:p>
    <w:p>
      <w:pPr>
        <w:spacing w:after="0" w:line="123" w:lineRule="exact"/>
        <w:rPr>
          <w:sz w:val="20"/>
          <w:szCs w:val="20"/>
          <w:color w:val="auto"/>
        </w:rPr>
      </w:pPr>
    </w:p>
    <w:p>
      <w:pPr>
        <w:ind w:left="20" w:right="99"/>
        <w:spacing w:after="0" w:line="250" w:lineRule="auto"/>
        <w:rPr>
          <w:sz w:val="20"/>
          <w:szCs w:val="20"/>
          <w:color w:val="auto"/>
        </w:rPr>
      </w:pPr>
      <w:r>
        <w:rPr>
          <w:rFonts w:ascii="Times New Roman" w:cs="Times New Roman" w:eastAsia="Times New Roman" w:hAnsi="Times New Roman"/>
          <w:sz w:val="14"/>
          <w:szCs w:val="14"/>
          <w:b w:val="1"/>
          <w:bCs w:val="1"/>
          <w:color w:val="auto"/>
        </w:rPr>
        <w:t>THIS PROXY, WHEN PROPERLY EXECUTED, WILL BE VOTED AS DIRECTED. IF NO DIRECTION IS GIVEN, IT WILL BE VOTED “FOR” EACH OF THE NOMINEES NAMED IN PROPOSAL 1 AND “FOR” PROPOSALS 2 AND 3 LISTED ON THE REVERSE SIDE OF THIS PROXY. IF NO DIRECTION IS GIVEN, THE VOTING POWER GRANTED TO THE PROXIES INCLUDES THE POWER TO VOTE CUMULATIVELY IN THE ELECTION OF DIRECTORS IF DEEMED NECESSARY OR APPROPRIATE BY THE PROXIES. THE PROXIES ARE AUTHORIZED TO VOTE IN THEIR DISCRETION UPON SUCH OTHER BUSINESS NOT KNOWN AS MAY PROPERLY COME BEFORE THE ANNUAL MEETING OR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414020</wp:posOffset>
            </wp:positionV>
            <wp:extent cx="56921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PLEASE SIGN AND DATE ON THE REVERSE SIDE.</w:t>
      </w:r>
    </w:p>
    <w:p>
      <w:pPr>
        <w:sectPr>
          <w:pgSz w:w="11900" w:h="16838" w:orient="portrait"/>
          <w:cols w:equalWidth="0" w:num="1">
            <w:col w:w="9019"/>
          </w:cols>
          <w:pgMar w:left="1440" w:top="453" w:right="1440" w:bottom="1440" w:gutter="0" w:footer="0" w:header="0"/>
        </w:sectPr>
      </w:pP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 ELECTION OF DIRECTORS</w:t>
            </w:r>
          </w:p>
        </w:tc>
        <w:tc>
          <w:tcPr>
            <w:tcW w:w="780" w:type="dxa"/>
            <w:vAlign w:val="bottom"/>
            <w:vMerge w:val="restart"/>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FOR ALL</w:t>
            </w:r>
          </w:p>
        </w:tc>
        <w:tc>
          <w:tcPr>
            <w:tcW w:w="0" w:type="dxa"/>
            <w:vAlign w:val="bottom"/>
          </w:tcPr>
          <w:p>
            <w:pPr>
              <w:spacing w:after="0"/>
              <w:rPr>
                <w:sz w:val="1"/>
                <w:szCs w:val="1"/>
                <w:color w:val="auto"/>
              </w:rPr>
            </w:pPr>
          </w:p>
        </w:tc>
      </w:tr>
      <w:tr>
        <w:trPr>
          <w:trHeight w:val="99"/>
        </w:trPr>
        <w:tc>
          <w:tcPr>
            <w:tcW w:w="21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b w:val="1"/>
                <w:bCs w:val="1"/>
                <w:color w:val="auto"/>
              </w:rPr>
              <w:t>NOMINEES</w:t>
            </w: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w w:val="93"/>
              </w:rPr>
              <w:t>LISTED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WITHHOLD</w:t>
            </w:r>
          </w:p>
        </w:tc>
        <w:tc>
          <w:tcPr>
            <w:tcW w:w="38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FOR ALL EXCEPT</w:t>
            </w: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0" w:type="dxa"/>
            <w:vAlign w:val="bottom"/>
          </w:tcPr>
          <w:p>
            <w:pPr>
              <w:spacing w:after="0"/>
              <w:rPr>
                <w:sz w:val="1"/>
                <w:szCs w:val="1"/>
                <w:color w:val="auto"/>
              </w:rPr>
            </w:pPr>
          </w:p>
        </w:tc>
      </w:tr>
      <w:tr>
        <w:trPr>
          <w:trHeight w:val="101"/>
        </w:trPr>
        <w:tc>
          <w:tcPr>
            <w:tcW w:w="200" w:type="dxa"/>
            <w:vAlign w:val="bottom"/>
            <w:vMerge w:val="continue"/>
          </w:tcPr>
          <w:p>
            <w:pPr>
              <w:spacing w:after="0"/>
              <w:rPr>
                <w:sz w:val="8"/>
                <w:szCs w:val="8"/>
                <w:color w:val="auto"/>
              </w:rPr>
            </w:pPr>
          </w:p>
        </w:tc>
        <w:tc>
          <w:tcPr>
            <w:tcW w:w="114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b w:val="1"/>
                <w:bCs w:val="1"/>
                <w:color w:val="auto"/>
              </w:rPr>
              <w:t>AUTHORITY</w:t>
            </w:r>
          </w:p>
        </w:tc>
        <w:tc>
          <w:tcPr>
            <w:tcW w:w="380" w:type="dxa"/>
            <w:vAlign w:val="bottom"/>
            <w:vMerge w:val="continue"/>
          </w:tcPr>
          <w:p>
            <w:pPr>
              <w:spacing w:after="0"/>
              <w:rPr>
                <w:sz w:val="8"/>
                <w:szCs w:val="8"/>
                <w:color w:val="auto"/>
              </w:rPr>
            </w:pPr>
          </w:p>
        </w:tc>
        <w:tc>
          <w:tcPr>
            <w:tcW w:w="140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color w:val="auto"/>
                <w:w w:val="97"/>
              </w:rPr>
              <w:t>(To withhold authority to vote for</w:t>
            </w:r>
          </w:p>
        </w:tc>
        <w:tc>
          <w:tcPr>
            <w:tcW w:w="240" w:type="dxa"/>
            <w:vAlign w:val="bottom"/>
            <w:vMerge w:val="continue"/>
          </w:tcPr>
          <w:p>
            <w:pPr>
              <w:spacing w:after="0"/>
              <w:rPr>
                <w:sz w:val="8"/>
                <w:szCs w:val="8"/>
                <w:color w:val="auto"/>
              </w:rPr>
            </w:pPr>
          </w:p>
        </w:tc>
        <w:tc>
          <w:tcPr>
            <w:tcW w:w="98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b w:val="1"/>
                <w:bCs w:val="1"/>
                <w:color w:val="auto"/>
                <w:w w:val="93"/>
              </w:rPr>
              <w:t>VOTING ELECTION</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14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to vote for all nominees</w:t>
            </w:r>
          </w:p>
        </w:tc>
        <w:tc>
          <w:tcPr>
            <w:tcW w:w="380" w:type="dxa"/>
            <w:vAlign w:val="bottom"/>
          </w:tcPr>
          <w:p>
            <w:pPr>
              <w:spacing w:after="0"/>
              <w:rPr>
                <w:sz w:val="8"/>
                <w:szCs w:val="8"/>
                <w:color w:val="auto"/>
              </w:rPr>
            </w:pPr>
          </w:p>
        </w:tc>
        <w:tc>
          <w:tcPr>
            <w:tcW w:w="1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any individual nominee(s), mark</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14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listed below</w:t>
            </w:r>
          </w:p>
        </w:tc>
        <w:tc>
          <w:tcPr>
            <w:tcW w:w="380" w:type="dxa"/>
            <w:vAlign w:val="bottom"/>
          </w:tcPr>
          <w:p>
            <w:pPr>
              <w:spacing w:after="0"/>
              <w:rPr>
                <w:sz w:val="8"/>
                <w:szCs w:val="8"/>
                <w:color w:val="auto"/>
              </w:rPr>
            </w:pPr>
          </w:p>
        </w:tc>
        <w:tc>
          <w:tcPr>
            <w:tcW w:w="1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“FOR ALL EXCEPT” box and</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strike a line through the name(s)</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of the nominee(s) below)</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2">
            <w:col w:w="3760" w:space="700"/>
            <w:col w:w="4559"/>
          </w:cols>
          <w:pgMar w:left="1440" w:top="453" w:right="1440" w:bottom="1440" w:gutter="0" w:footer="0" w:header="0"/>
          <w:type w:val="continuous"/>
        </w:sectPr>
      </w:pPr>
    </w:p>
    <w:p>
      <w:pPr>
        <w:ind w:left="20" w:right="59" w:firstLine="2"/>
        <w:spacing w:after="0" w:line="266" w:lineRule="auto"/>
        <w:tabs>
          <w:tab w:leader="none" w:pos="101" w:val="left"/>
        </w:tabs>
        <w:numPr>
          <w:ilvl w:val="0"/>
          <w:numId w:val="4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nine. For example, if you own 100 shares, you are entitled to cast 900 votes for director nominees. However, if you have cast your proxy for either of the other above two choices, do not complete this table.)</w:t>
      </w: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Director Nominee Name</w:t>
            </w:r>
          </w:p>
        </w:tc>
        <w:tc>
          <w:tcPr>
            <w:tcW w:w="1760" w:type="dxa"/>
            <w:vAlign w:val="bottom"/>
          </w:tcPr>
          <w:p>
            <w:pPr>
              <w:spacing w:after="0"/>
              <w:rPr>
                <w:sz w:val="11"/>
                <w:szCs w:val="11"/>
                <w:color w:val="auto"/>
              </w:rPr>
            </w:pPr>
          </w:p>
        </w:tc>
        <w:tc>
          <w:tcPr>
            <w:tcW w:w="234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Number of Votes</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color w:val="auto"/>
              </w:rPr>
              <w:t>Farha Aslam</w:t>
            </w:r>
          </w:p>
        </w:tc>
        <w:tc>
          <w:tcPr>
            <w:tcW w:w="7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line="20" w:lineRule="exact"/>
              <w:rPr>
                <w:sz w:val="1"/>
                <w:szCs w:val="1"/>
                <w:color w:val="auto"/>
              </w:rPr>
            </w:pPr>
          </w:p>
        </w:tc>
      </w:tr>
      <w:tr>
        <w:trPr>
          <w:trHeight w:val="100"/>
        </w:trPr>
        <w:tc>
          <w:tcPr>
            <w:tcW w:w="11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Marc L. Brown</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Michael A. DiGregorio</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James Helin</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Steven Hollister</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Kathleen M. Holmgren</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Brian Kocher</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J. Link Leavens</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Adriana Mendizabal</w:t>
            </w:r>
          </w:p>
        </w:tc>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11"/>
                <w:szCs w:val="11"/>
                <w:b w:val="1"/>
                <w:bCs w:val="1"/>
                <w:color w:val="auto"/>
              </w:rPr>
              <w:t>Total Votes Cast:</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9019"/>
          </w:cols>
          <w:pgMar w:left="1440" w:top="453" w:right="1440" w:bottom="1440" w:gutter="0" w:footer="0" w:header="0"/>
          <w:type w:val="continuous"/>
        </w:sectPr>
      </w:pPr>
    </w:p>
    <w:p>
      <w:pPr>
        <w:ind w:left="20" w:firstLine="2"/>
        <w:spacing w:after="0" w:line="269" w:lineRule="auto"/>
        <w:tabs>
          <w:tab w:leader="none" w:pos="128"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RATIFICATION OF APPOINTMENT OF DELOITTE &amp; TOUCHE LLP AS INDEPENDENT REGISTERED PUBLIC ACCOUNTING FIRM OF CALAVO GROWERS, INC. FOR THE YEAR ENDING OCTOBER 31, 2023</w:t>
      </w:r>
    </w:p>
    <w:p>
      <w:pPr>
        <w:spacing w:after="0" w:line="234" w:lineRule="exact"/>
        <w:rPr>
          <w:sz w:val="20"/>
          <w:szCs w:val="20"/>
          <w:color w:val="auto"/>
        </w:rPr>
      </w:pPr>
    </w:p>
    <w:p>
      <w:pPr>
        <w:ind w:left="20"/>
        <w:spacing w:after="0" w:line="127" w:lineRule="exact"/>
        <w:tabs>
          <w:tab w:leader="none" w:pos="480" w:val="left"/>
          <w:tab w:leader="none" w:pos="1880" w:val="left"/>
          <w:tab w:leader="none" w:pos="2140" w:val="left"/>
          <w:tab w:leader="none" w:pos="3360" w:val="left"/>
          <w:tab w:leader="none" w:pos="36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FOR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AGAINST</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b w:val="1"/>
          <w:bCs w:val="1"/>
          <w:color w:val="auto"/>
        </w:rPr>
        <w:t>ABSTAIN</w:t>
      </w:r>
    </w:p>
    <w:p>
      <w:pPr>
        <w:spacing w:after="0" w:line="160" w:lineRule="exact"/>
        <w:rPr>
          <w:sz w:val="20"/>
          <w:szCs w:val="20"/>
          <w:color w:val="auto"/>
        </w:rPr>
      </w:pPr>
    </w:p>
    <w:p>
      <w:pPr>
        <w:ind w:left="20" w:right="440" w:firstLine="2"/>
        <w:spacing w:after="0" w:line="261" w:lineRule="auto"/>
        <w:tabs>
          <w:tab w:leader="none" w:pos="128"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ADVISORY VOTE APPROVING THE EXECUTIVE COMPENSATION DISCLOSED IN THE ACCOMPANYING PROXY STATEMENT</w:t>
      </w:r>
    </w:p>
    <w:p>
      <w:pPr>
        <w:ind w:left="20"/>
        <w:spacing w:after="0" w:line="127" w:lineRule="exact"/>
        <w:tabs>
          <w:tab w:leader="none" w:pos="300" w:val="left"/>
          <w:tab w:leader="none" w:pos="1300" w:val="left"/>
          <w:tab w:leader="none" w:pos="248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FOR</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b w:val="1"/>
          <w:bCs w:val="1"/>
          <w:color w:val="auto"/>
        </w:rPr>
        <w:t>AGAINST</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b w:val="1"/>
          <w:bCs w:val="1"/>
          <w:color w:val="auto"/>
        </w:rPr>
        <w:t>ABSTAIN</w:t>
      </w:r>
    </w:p>
    <w:p>
      <w:pPr>
        <w:spacing w:after="0" w:line="20" w:lineRule="exact"/>
        <w:rPr>
          <w:sz w:val="20"/>
          <w:szCs w:val="20"/>
          <w:color w:val="auto"/>
        </w:rPr>
      </w:pPr>
      <w:r>
        <w:rPr>
          <w:sz w:val="20"/>
          <w:szCs w:val="20"/>
          <w:color w:val="auto"/>
        </w:rPr>
        <w:br w:type="column"/>
      </w:r>
    </w:p>
    <w:p>
      <w:pPr>
        <w:ind w:left="6" w:right="139" w:hanging="6"/>
        <w:spacing w:after="0" w:line="264" w:lineRule="auto"/>
        <w:tabs>
          <w:tab w:leader="none" w:pos="114"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BUSINESS. In their discretion, the proxies are authorized to vote upon other business as may properly come before the meeting and at any and all adjournments or postponements thereof. The Board of Directors, at present, know of no other business to be presented at the meeting.</w:t>
      </w:r>
    </w:p>
    <w:p>
      <w:pPr>
        <w:spacing w:after="0" w:line="990" w:lineRule="exact"/>
        <w:rPr>
          <w:sz w:val="20"/>
          <w:szCs w:val="20"/>
          <w:color w:val="auto"/>
        </w:rPr>
      </w:pPr>
    </w:p>
    <w:p>
      <w:pPr>
        <w:sectPr>
          <w:pgSz w:w="11900" w:h="16838" w:orient="portrait"/>
          <w:cols w:equalWidth="0" w:num="2">
            <w:col w:w="4820" w:space="494"/>
            <w:col w:w="3705"/>
          </w:cols>
          <w:pgMar w:left="1440" w:top="453" w:right="1440"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900" w:type="dxa"/>
            <w:vAlign w:val="bottom"/>
          </w:tcPr>
          <w:p>
            <w:pPr>
              <w:spacing w:after="0"/>
              <w:rPr>
                <w:sz w:val="20"/>
                <w:szCs w:val="20"/>
                <w:color w:val="auto"/>
              </w:rPr>
            </w:pPr>
            <w:r>
              <w:rPr>
                <w:rFonts w:ascii="Times New Roman" w:cs="Times New Roman" w:eastAsia="Times New Roman" w:hAnsi="Times New Roman"/>
                <w:sz w:val="11"/>
                <w:szCs w:val="11"/>
                <w:color w:val="auto"/>
              </w:rPr>
              <w:t>I (WE) WILL</w:t>
            </w:r>
          </w:p>
        </w:tc>
        <w:tc>
          <w:tcPr>
            <w:tcW w:w="6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1060" w:type="dxa"/>
            <w:vAlign w:val="bottom"/>
          </w:tcPr>
          <w:p>
            <w:pPr>
              <w:ind w:left="200"/>
              <w:spacing w:after="0" w:line="127" w:lineRule="exact"/>
              <w:rPr>
                <w:sz w:val="20"/>
                <w:szCs w:val="20"/>
                <w:color w:val="auto"/>
              </w:rPr>
            </w:pPr>
            <w:r>
              <w:rPr>
                <w:rFonts w:ascii="Times New Roman" w:cs="Times New Roman" w:eastAsia="Times New Roman" w:hAnsi="Times New Roman"/>
                <w:sz w:val="11"/>
                <w:szCs w:val="11"/>
                <w:color w:val="auto"/>
              </w:rPr>
              <w:t xml:space="preserve">WILL   </w:t>
            </w:r>
            <w:r>
              <w:rPr>
                <w:rFonts w:ascii="MS PGothic" w:cs="MS PGothic" w:eastAsia="MS PGothic" w:hAnsi="MS PGothic"/>
                <w:sz w:val="11"/>
                <w:szCs w:val="11"/>
                <w:color w:val="auto"/>
              </w:rPr>
              <w:t>☐</w:t>
            </w:r>
          </w:p>
        </w:tc>
        <w:tc>
          <w:tcPr>
            <w:tcW w:w="64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ATTEND THE MEETING IN PERSON.</w:t>
            </w:r>
          </w:p>
        </w:tc>
      </w:tr>
      <w:tr>
        <w:trPr>
          <w:trHeight w:val="140"/>
        </w:trPr>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NOT</w:t>
            </w:r>
          </w:p>
        </w:tc>
        <w:tc>
          <w:tcPr>
            <w:tcW w:w="6400" w:type="dxa"/>
            <w:vAlign w:val="bottom"/>
          </w:tcPr>
          <w:p>
            <w:pPr>
              <w:spacing w:after="0"/>
              <w:rPr>
                <w:sz w:val="12"/>
                <w:szCs w:val="12"/>
                <w:color w:val="auto"/>
              </w:rPr>
            </w:pPr>
          </w:p>
        </w:tc>
      </w:tr>
      <w:tr>
        <w:trPr>
          <w:trHeight w:val="803"/>
        </w:trPr>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type w:val="continuous"/>
        </w:sectPr>
      </w:pPr>
    </w:p>
    <w:bookmarkStart w:id="71" w:name="page72"/>
    <w:bookmarkEnd w:id="7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ADDRESS LABEL</w:t>
      </w:r>
    </w:p>
    <w:p>
      <w:pPr>
        <w:spacing w:after="0" w:line="1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THIS SPACE MUST BE LEFT BLANK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9"/>
        <w:spacing w:after="0" w:line="257" w:lineRule="auto"/>
        <w:rPr>
          <w:sz w:val="20"/>
          <w:szCs w:val="20"/>
          <w:color w:val="auto"/>
        </w:rPr>
      </w:pPr>
      <w:r>
        <w:rPr>
          <w:rFonts w:ascii="Times New Roman" w:cs="Times New Roman" w:eastAsia="Times New Roman" w:hAnsi="Times New Roman"/>
          <w:sz w:val="12"/>
          <w:szCs w:val="12"/>
          <w:color w:val="auto"/>
        </w:rPr>
        <w:t>The undersigned hereby ratifies and confirms all that the attorneys and proxies, or either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3320" w:type="dxa"/>
            <w:vAlign w:val="bottom"/>
            <w:tcBorders>
              <w:bottom w:val="single" w:sz="8" w:color="auto"/>
            </w:tcBorders>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,2023</w:t>
            </w:r>
          </w:p>
        </w:tc>
      </w:tr>
    </w:tbl>
    <w:p>
      <w:pPr>
        <w:spacing w:after="0" w:line="2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-85725</wp:posOffset>
            </wp:positionV>
            <wp:extent cx="21088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08835" cy="5715"/>
                    </a:xfrm>
                    <a:prstGeom prst="rect">
                      <a:avLst/>
                    </a:prstGeom>
                    <a:noFill/>
                  </pic:spPr>
                </pic:pic>
              </a:graphicData>
            </a:graphic>
          </wp:anchor>
        </w:drawing>
      </w:r>
    </w:p>
    <w:p>
      <w:pPr>
        <w:spacing w:after="0" w:line="27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-80010</wp:posOffset>
            </wp:positionV>
            <wp:extent cx="184594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45945" cy="5715"/>
                    </a:xfrm>
                    <a:prstGeom prst="rect">
                      <a:avLst/>
                    </a:prstGeom>
                    <a:noFill/>
                  </pic:spPr>
                </pic:pic>
              </a:graphicData>
            </a:graphic>
          </wp:anchor>
        </w:drawing>
      </w:r>
    </w:p>
    <w:p>
      <w:pPr>
        <w:spacing w:after="0" w:line="130" w:lineRule="exact"/>
        <w:rPr>
          <w:sz w:val="20"/>
          <w:szCs w:val="20"/>
          <w:color w:val="auto"/>
        </w:rPr>
      </w:pPr>
    </w:p>
    <w:p>
      <w:pPr>
        <w:ind w:right="199"/>
        <w:spacing w:after="0" w:line="300" w:lineRule="auto"/>
        <w:rPr>
          <w:sz w:val="20"/>
          <w:szCs w:val="20"/>
          <w:color w:val="auto"/>
        </w:rPr>
      </w:pPr>
      <w:r>
        <w:rPr>
          <w:rFonts w:ascii="Times New Roman" w:cs="Times New Roman" w:eastAsia="Times New Roman" w:hAnsi="Times New Roman"/>
          <w:sz w:val="11"/>
          <w:szCs w:val="11"/>
          <w:color w:val="auto"/>
        </w:rPr>
        <w:t>Please date this proxy card and sign above exactly as your name appears on this card. Joint owners should each sign personally. Corporate proxies should be signed by an authorized officer. Executors, administrators, trustee, etc., should give their full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391795</wp:posOffset>
            </wp:positionV>
            <wp:extent cx="56921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sectPr>
      <w:pgSz w:w="11900" w:h="16838" w:orient="portrait"/>
      <w:cols w:equalWidth="0" w:num="2">
        <w:col w:w="4000" w:space="720"/>
        <w:col w:w="4299"/>
      </w:cols>
      <w:pgMar w:left="1440" w:top="4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805"/>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lvl w:ilvl="1">
      <w:lvlJc w:val="left"/>
      <w:lvlText w:val="o"/>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4"/>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3"/>
      <w:numFmt w:val="bullet"/>
      <w:start w:val="1"/>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1)"/>
      <w:numFmt w:val="lowerRoman"/>
      <w:start w:val="3"/>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lowerLetter"/>
      <w:start w:val="1"/>
    </w:lvl>
    <w:lvl w:ilvl="1">
      <w:lvlJc w:val="left"/>
      <w:lvlText w:val="(%2)"/>
      <w:numFmt w:val="lowerLetter"/>
      <w:start w:val="1"/>
    </w:lvl>
  </w:abstractNum>
  <w:abstractNum w:abstractNumId="38">
    <w:nsid w:val="2A487CB0"/>
    <w:multiLevelType w:val="hybridMultilevel"/>
    <w:lvl w:ilvl="0">
      <w:lvlJc w:val="left"/>
      <w:lvlText w:val="(%1)"/>
      <w:numFmt w:val="lowerLetter"/>
      <w:start w:val="3"/>
    </w:lvl>
    <w:lvl w:ilvl="1">
      <w:lvlJc w:val="left"/>
      <w:lvlText w:val="%2"/>
      <w:numFmt w:val="lowerLetter"/>
      <w:start w:val="1"/>
    </w:lvl>
  </w:abstractNum>
  <w:abstractNum w:abstractNumId="39">
    <w:nsid w:val="1D4ED43B"/>
    <w:multiLevelType w:val="hybridMultilevel"/>
    <w:lvl w:ilvl="0">
      <w:lvlJc w:val="left"/>
      <w:lvlText w:val="(%1)"/>
      <w:numFmt w:val="decimal"/>
      <w:start w:val="2"/>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2"/>
    </w:lvl>
  </w:abstractNum>
  <w:abstractNum w:abstractNumId="45">
    <w:nsid w:val="542289EC"/>
    <w:multiLevelType w:val="hybridMultilevel"/>
    <w:lvl w:ilvl="0">
      <w:lvlJc w:val="left"/>
      <w:lvlText w:val="%1."/>
      <w:numFmt w:val="decimal"/>
      <w:start w:val="3"/>
    </w:lvl>
  </w:abstractNum>
  <w:abstractNum w:abstractNumId="46">
    <w:nsid w:val="6DE91B1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2023-02-28T17:32:25Z</dcterms:created>
  <dcterms:modified xsi:type="dcterms:W3CDTF">2023-02-28T17:32:25Z</dcterms:modified>
</cp:coreProperties>
</file>