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jc w:val="center"/>
        <w:spacing w:after="0" w:line="230"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86"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rPr>
      </w:pPr>
    </w:p>
    <w:p>
      <w:pPr>
        <w:ind w:left="148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-267335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July 31, 2020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rPr>
      </w:pPr>
    </w:p>
    <w:p>
      <w:pPr>
        <w:ind w:left="1480"/>
        <w:spacing w:after="0"/>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-267335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3800" w:type="dxa"/>
            <w:vAlign w:val="bottom"/>
            <w:gridSpan w:val="3"/>
          </w:tcPr>
          <w:p>
            <w:pPr>
              <w:jc w:val="center"/>
              <w:ind w:right="2464"/>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500" w:type="dxa"/>
            <w:vAlign w:val="bottom"/>
            <w:gridSpan w:val="3"/>
          </w:tcPr>
          <w:p>
            <w:pPr>
              <w:jc w:val="right"/>
              <w:ind w:right="2105"/>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233"/>
        </w:trPr>
        <w:tc>
          <w:tcPr>
            <w:tcW w:w="1920" w:type="dxa"/>
            <w:vAlign w:val="bottom"/>
          </w:tcPr>
          <w:p>
            <w:pPr>
              <w:spacing w:after="0"/>
              <w:rPr>
                <w:sz w:val="20"/>
                <w:szCs w:val="20"/>
                <w:color w:val="auto"/>
              </w:rPr>
            </w:pPr>
          </w:p>
        </w:tc>
        <w:tc>
          <w:tcPr>
            <w:tcW w:w="3800" w:type="dxa"/>
            <w:vAlign w:val="bottom"/>
            <w:gridSpan w:val="3"/>
          </w:tcPr>
          <w:p>
            <w:pPr>
              <w:jc w:val="center"/>
              <w:ind w:right="2464"/>
              <w:spacing w:after="0"/>
              <w:rPr>
                <w:sz w:val="20"/>
                <w:szCs w:val="20"/>
                <w:color w:val="auto"/>
              </w:rPr>
            </w:pPr>
            <w:r>
              <w:rPr>
                <w:rFonts w:ascii="Times New Roman" w:cs="Times New Roman" w:eastAsia="Times New Roman" w:hAnsi="Times New Roman"/>
                <w:sz w:val="13"/>
                <w:szCs w:val="13"/>
                <w:color w:val="auto"/>
                <w:w w:val="96"/>
              </w:rPr>
              <w:t>(State of incorporation)</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Pr>
          <w:p>
            <w:pPr>
              <w:jc w:val="center"/>
              <w:ind w:right="1085"/>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338"/>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5"/>
              <w:spacing w:after="0"/>
              <w:rPr>
                <w:sz w:val="20"/>
                <w:szCs w:val="20"/>
                <w:color w:val="auto"/>
              </w:rPr>
            </w:pPr>
            <w:r>
              <w:rPr>
                <w:rFonts w:ascii="Times New Roman" w:cs="Times New Roman" w:eastAsia="Times New Roman" w:hAnsi="Times New Roman"/>
                <w:sz w:val="16"/>
                <w:szCs w:val="16"/>
                <w:b w:val="1"/>
                <w:bCs w:val="1"/>
                <w:color w:val="auto"/>
              </w:rPr>
              <w:t>1141-A Cummings Road</w:t>
            </w:r>
          </w:p>
        </w:tc>
      </w:tr>
      <w:tr>
        <w:trPr>
          <w:trHeight w:val="200"/>
        </w:trPr>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Santa Paula, California</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93060</w:t>
            </w:r>
          </w:p>
        </w:tc>
        <w:tc>
          <w:tcPr>
            <w:tcW w:w="3960" w:type="dxa"/>
            <w:vAlign w:val="bottom"/>
          </w:tcPr>
          <w:p>
            <w:pPr>
              <w:spacing w:after="0"/>
              <w:rPr>
                <w:sz w:val="17"/>
                <w:szCs w:val="17"/>
                <w:color w:val="auto"/>
              </w:rPr>
            </w:pPr>
          </w:p>
        </w:tc>
      </w:tr>
      <w:tr>
        <w:trPr>
          <w:trHeight w:val="164"/>
        </w:trPr>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gridSpan w:val="4"/>
          </w:tcPr>
          <w:p>
            <w:pPr>
              <w:jc w:val="center"/>
              <w:ind w:right="2685"/>
              <w:spacing w:after="0"/>
              <w:rPr>
                <w:sz w:val="20"/>
                <w:szCs w:val="20"/>
                <w:color w:val="auto"/>
              </w:rPr>
            </w:pPr>
            <w:r>
              <w:rPr>
                <w:rFonts w:ascii="Times New Roman" w:cs="Times New Roman" w:eastAsia="Times New Roman" w:hAnsi="Times New Roman"/>
                <w:sz w:val="13"/>
                <w:szCs w:val="13"/>
                <w:color w:val="auto"/>
                <w:w w:val="96"/>
              </w:rPr>
              <w:t>(Address of principal executive offices) (Zip code)</w:t>
            </w:r>
          </w:p>
        </w:tc>
      </w:tr>
      <w:tr>
        <w:trPr>
          <w:trHeight w:val="376"/>
        </w:trPr>
        <w:tc>
          <w:tcPr>
            <w:tcW w:w="1920" w:type="dxa"/>
            <w:vAlign w:val="bottom"/>
          </w:tcPr>
          <w:p>
            <w:pPr>
              <w:spacing w:after="0"/>
              <w:rPr>
                <w:sz w:val="24"/>
                <w:szCs w:val="24"/>
                <w:color w:val="auto"/>
              </w:rPr>
            </w:pPr>
          </w:p>
        </w:tc>
        <w:tc>
          <w:tcPr>
            <w:tcW w:w="3800" w:type="dxa"/>
            <w:vAlign w:val="bottom"/>
            <w:gridSpan w:val="3"/>
          </w:tcPr>
          <w:p>
            <w:pPr>
              <w:jc w:val="center"/>
              <w:ind w:left="2505"/>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64"/>
        </w:trPr>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gridSpan w:val="4"/>
          </w:tcPr>
          <w:p>
            <w:pPr>
              <w:jc w:val="center"/>
              <w:ind w:right="2665"/>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r>
      <w:tr>
        <w:trPr>
          <w:trHeight w:val="320"/>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5"/>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0"/>
        </w:trPr>
        <w:tc>
          <w:tcPr>
            <w:tcW w:w="192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jc w:val="center"/>
              <w:ind w:left="284"/>
              <w:spacing w:after="0"/>
              <w:rPr>
                <w:sz w:val="20"/>
                <w:szCs w:val="20"/>
                <w:color w:val="auto"/>
              </w:rPr>
            </w:pPr>
            <w:r>
              <w:rPr>
                <w:rFonts w:ascii="Times New Roman" w:cs="Times New Roman" w:eastAsia="Times New Roman" w:hAnsi="Times New Roman"/>
                <w:sz w:val="16"/>
                <w:szCs w:val="16"/>
                <w:color w:val="auto"/>
              </w:rPr>
              <w:t>Trading Symbol(s)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0"/>
        </w:trPr>
        <w:tc>
          <w:tcPr>
            <w:tcW w:w="19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210"/>
        </w:trPr>
        <w:tc>
          <w:tcPr>
            <w:tcW w:w="19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Common 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jc w:val="center"/>
              <w:ind w:left="284"/>
              <w:spacing w:after="0"/>
              <w:rPr>
                <w:sz w:val="20"/>
                <w:szCs w:val="20"/>
                <w:color w:val="auto"/>
              </w:rPr>
            </w:pPr>
            <w:r>
              <w:rPr>
                <w:rFonts w:ascii="Times New Roman" w:cs="Times New Roman" w:eastAsia="Times New Roman" w:hAnsi="Times New Roman"/>
                <w:sz w:val="16"/>
                <w:szCs w:val="16"/>
                <w:color w:val="auto"/>
              </w:rPr>
              <w:t>CVGW</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100" w:lineRule="exact"/>
        <w:rPr>
          <w:sz w:val="24"/>
          <w:szCs w:val="24"/>
          <w:color w:val="auto"/>
        </w:rPr>
      </w:pPr>
    </w:p>
    <w:p>
      <w:pPr>
        <w:ind w:right="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7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26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4">
            <w:col w:w="2240" w:space="720"/>
            <w:col w:w="1500" w:space="720"/>
            <w:col w:w="1820" w:space="720"/>
            <w:col w:w="2500"/>
          </w:cols>
          <w:pgMar w:left="840" w:top="661" w:right="839" w:bottom="1440" w:gutter="0" w:footer="0" w:header="0"/>
          <w:type w:val="continuous"/>
        </w:sect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0220"/>
          </w:cols>
          <w:pgMar w:left="840" w:top="661" w:right="839" w:bottom="1440" w:gutter="0" w:footer="0" w:header="0"/>
          <w:type w:val="continuous"/>
        </w:sectPr>
      </w:pPr>
    </w:p>
    <w:p>
      <w:pPr>
        <w:spacing w:after="0" w:line="126" w:lineRule="exact"/>
        <w:rPr>
          <w:sz w:val="24"/>
          <w:szCs w:val="24"/>
          <w:color w:val="auto"/>
        </w:rPr>
      </w:pPr>
    </w:p>
    <w:p>
      <w:pPr>
        <w:ind w:right="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62" w:lineRule="exact"/>
        <w:rPr>
          <w:sz w:val="24"/>
          <w:szCs w:val="24"/>
          <w:color w:val="auto"/>
        </w:rPr>
      </w:pPr>
    </w:p>
    <w:p>
      <w:pPr>
        <w:ind w:right="202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July 31, 2020 was 17,656,816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201295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252730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40" w:right="79" w:firstLine="22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“Management’s Discussion and Analysis of Financial Condition and Results of Operations” in Item 2,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89" w:lineRule="exact"/>
        <w:rPr>
          <w:sz w:val="20"/>
          <w:szCs w:val="20"/>
          <w:color w:val="auto"/>
        </w:rPr>
      </w:pPr>
    </w:p>
    <w:p>
      <w:pPr>
        <w:ind w:left="40" w:right="79" w:firstLine="270"/>
        <w:spacing w:after="0" w:line="252"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impact of COVID-19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increased costs that we must incur as a result of COVID-19, the impact of governmental trade restrictions imposed as a result of COVID-19 and the possible adverse impact of COVID-19 on our goodwill and other intangible assets; the impact of macroeconomic trends and events; the competitive pressures faced by Calavo's business; the development and transition of new products and services (and the enhancement of existing products and services) to meet customer needs; integration and other risks associated with acquisitions of other businesses; our ability to hire and retain key employees; the resolution of pending investigations, legal claims and tax disputes; the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and potential cyber-attacks on our information technology systems or on the information technology systems of our suppliers or customers.</w:t>
      </w:r>
    </w:p>
    <w:p>
      <w:pPr>
        <w:spacing w:after="0" w:line="195" w:lineRule="exact"/>
        <w:rPr>
          <w:sz w:val="20"/>
          <w:szCs w:val="20"/>
          <w:color w:val="auto"/>
        </w:rPr>
      </w:pPr>
    </w:p>
    <w:p>
      <w:pPr>
        <w:jc w:val="both"/>
        <w:ind w:left="40" w:right="59" w:firstLine="270"/>
        <w:spacing w:after="0" w:line="270"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2019 filed with the Securities and Exchange Commission and any subsequent updates that may be contained in our Quarterly Reports on Form 10-Q (including this Quarterly Report on Form 10-Q) and other filings with the Securities and Exchange Commission.</w:t>
      </w:r>
    </w:p>
    <w:p>
      <w:pPr>
        <w:spacing w:after="0" w:line="3"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814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FINANCIAL INFORMATION</w:t>
              </w:r>
            </w:hyperlink>
          </w:p>
        </w:tc>
        <w:tc>
          <w:tcPr>
            <w:tcW w:w="780" w:type="dxa"/>
            <w:vAlign w:val="bottom"/>
          </w:tcPr>
          <w:p>
            <w:pPr>
              <w:spacing w:after="0"/>
              <w:rPr>
                <w:sz w:val="24"/>
                <w:szCs w:val="24"/>
                <w:color w:val="auto"/>
              </w:rPr>
            </w:pPr>
          </w:p>
        </w:tc>
      </w:tr>
      <w:tr>
        <w:trPr>
          <w:trHeight w:val="413"/>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Item 1.</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Financial Statements (unaudited):</w:t>
              </w:r>
            </w:hyperlink>
          </w:p>
        </w:tc>
        <w:tc>
          <w:tcPr>
            <w:tcW w:w="780" w:type="dxa"/>
            <w:vAlign w:val="bottom"/>
          </w:tcPr>
          <w:p>
            <w:pPr>
              <w:spacing w:after="0"/>
              <w:rPr>
                <w:sz w:val="24"/>
                <w:szCs w:val="24"/>
                <w:color w:val="auto"/>
              </w:rPr>
            </w:pP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Consolidated Condensed Balance Sheets – July 31, 2020 and October 31, 2019</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Consolidated Condensed Statements of Operations – Three and Nine Months Ended July 31, 2020 and 2019</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6">
              <w:r>
                <w:rPr>
                  <w:rFonts w:ascii="Times New Roman" w:cs="Times New Roman" w:eastAsia="Times New Roman" w:hAnsi="Times New Roman"/>
                  <w:sz w:val="16"/>
                  <w:szCs w:val="16"/>
                  <w:u w:val="single" w:color="auto"/>
                  <w:color w:val="0000EE"/>
                </w:rPr>
                <w:t>Consolidated Condensed Statements of Cash Flows – Three and Nine Months Ended July 31, 2020 and 2019</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7">
              <w:r>
                <w:rPr>
                  <w:rFonts w:ascii="Times New Roman" w:cs="Times New Roman" w:eastAsia="Times New Roman" w:hAnsi="Times New Roman"/>
                  <w:sz w:val="16"/>
                  <w:szCs w:val="16"/>
                  <w:u w:val="single" w:color="auto"/>
                  <w:color w:val="0000EE"/>
                </w:rPr>
                <w:t>Consolidated Statements of Shareholders’ Equity</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9">
              <w:r>
                <w:rPr>
                  <w:rFonts w:ascii="Times New Roman" w:cs="Times New Roman" w:eastAsia="Times New Roman" w:hAnsi="Times New Roman"/>
                  <w:sz w:val="16"/>
                  <w:szCs w:val="16"/>
                  <w:u w:val="single" w:color="auto"/>
                  <w:color w:val="0000EE"/>
                </w:rPr>
                <w:t>Notes to Consolidated Condensed Financial Statements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05"/>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29">
              <w:r>
                <w:rPr>
                  <w:rFonts w:ascii="Times New Roman" w:cs="Times New Roman" w:eastAsia="Times New Roman" w:hAnsi="Times New Roman"/>
                  <w:sz w:val="16"/>
                  <w:szCs w:val="16"/>
                  <w:u w:val="single" w:color="auto"/>
                  <w:color w:val="0000EE"/>
                </w:rPr>
                <w:t>Item 2.</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29">
              <w:r>
                <w:rPr>
                  <w:rFonts w:ascii="Times New Roman" w:cs="Times New Roman" w:eastAsia="Times New Roman" w:hAnsi="Times New Roman"/>
                  <w:sz w:val="16"/>
                  <w:szCs w:val="16"/>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405"/>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38">
              <w:r>
                <w:rPr>
                  <w:rFonts w:ascii="Times New Roman" w:cs="Times New Roman" w:eastAsia="Times New Roman" w:hAnsi="Times New Roman"/>
                  <w:sz w:val="16"/>
                  <w:szCs w:val="16"/>
                  <w:u w:val="single" w:color="auto"/>
                  <w:color w:val="0000EE"/>
                </w:rPr>
                <w:t>Item 3.</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38">
              <w:r>
                <w:rPr>
                  <w:rFonts w:ascii="Times New Roman" w:cs="Times New Roman" w:eastAsia="Times New Roman" w:hAnsi="Times New Roman"/>
                  <w:sz w:val="16"/>
                  <w:szCs w:val="16"/>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405"/>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38">
              <w:r>
                <w:rPr>
                  <w:rFonts w:ascii="Times New Roman" w:cs="Times New Roman" w:eastAsia="Times New Roman" w:hAnsi="Times New Roman"/>
                  <w:sz w:val="16"/>
                  <w:szCs w:val="16"/>
                  <w:u w:val="single" w:color="auto"/>
                  <w:color w:val="0000EE"/>
                </w:rPr>
                <w:t>Item 4.</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38">
              <w:r>
                <w:rPr>
                  <w:rFonts w:ascii="Times New Roman" w:cs="Times New Roman" w:eastAsia="Times New Roman" w:hAnsi="Times New Roman"/>
                  <w:sz w:val="16"/>
                  <w:szCs w:val="16"/>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608"/>
        </w:trPr>
        <w:tc>
          <w:tcPr>
            <w:tcW w:w="8140" w:type="dxa"/>
            <w:vAlign w:val="bottom"/>
            <w:gridSpan w:val="2"/>
          </w:tcPr>
          <w:p>
            <w:pPr>
              <w:spacing w:after="0"/>
              <w:rPr>
                <w:rFonts w:ascii="Times New Roman" w:cs="Times New Roman" w:eastAsia="Times New Roman" w:hAnsi="Times New Roman"/>
                <w:sz w:val="16"/>
                <w:szCs w:val="16"/>
                <w:b w:val="1"/>
                <w:bCs w:val="1"/>
                <w:u w:val="single" w:color="auto"/>
                <w:color w:val="0000EE"/>
              </w:rPr>
            </w:pPr>
            <w:hyperlink w:anchor="page39">
              <w:r>
                <w:rPr>
                  <w:rFonts w:ascii="Times New Roman" w:cs="Times New Roman" w:eastAsia="Times New Roman" w:hAnsi="Times New Roman"/>
                  <w:sz w:val="16"/>
                  <w:szCs w:val="16"/>
                  <w:b w:val="1"/>
                  <w:bCs w:val="1"/>
                  <w:u w:val="single" w:color="auto"/>
                  <w:color w:val="0000EE"/>
                </w:rPr>
                <w:t>PART II. OTHER INFORMATION</w:t>
              </w:r>
            </w:hyperlink>
          </w:p>
        </w:tc>
        <w:tc>
          <w:tcPr>
            <w:tcW w:w="780" w:type="dxa"/>
            <w:vAlign w:val="bottom"/>
          </w:tcPr>
          <w:p>
            <w:pPr>
              <w:spacing w:after="0"/>
              <w:rPr>
                <w:sz w:val="24"/>
                <w:szCs w:val="24"/>
                <w:color w:val="auto"/>
              </w:rPr>
            </w:pPr>
          </w:p>
        </w:tc>
      </w:tr>
      <w:tr>
        <w:trPr>
          <w:trHeight w:val="405"/>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Item 1.</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405"/>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Item 1A.</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405"/>
        </w:trPr>
        <w:tc>
          <w:tcPr>
            <w:tcW w:w="680" w:type="dxa"/>
            <w:vAlign w:val="bottom"/>
          </w:tcPr>
          <w:p>
            <w:pPr>
              <w:spacing w:after="0"/>
              <w:rPr>
                <w:rFonts w:ascii="Times New Roman" w:cs="Times New Roman" w:eastAsia="Times New Roman" w:hAnsi="Times New Roman"/>
                <w:sz w:val="16"/>
                <w:szCs w:val="16"/>
                <w:u w:val="single" w:color="auto"/>
                <w:color w:val="0000EE"/>
              </w:rPr>
            </w:pPr>
            <w:hyperlink w:anchor="page40">
              <w:r>
                <w:rPr>
                  <w:rFonts w:ascii="Times New Roman" w:cs="Times New Roman" w:eastAsia="Times New Roman" w:hAnsi="Times New Roman"/>
                  <w:sz w:val="16"/>
                  <w:szCs w:val="16"/>
                  <w:u w:val="single" w:color="auto"/>
                  <w:color w:val="0000EE"/>
                </w:rPr>
                <w:t>Item 6.</w:t>
              </w:r>
            </w:hyperlink>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40">
              <w:r>
                <w:rPr>
                  <w:rFonts w:ascii="Times New Roman" w:cs="Times New Roman" w:eastAsia="Times New Roman" w:hAnsi="Times New Roman"/>
                  <w:sz w:val="16"/>
                  <w:szCs w:val="16"/>
                  <w:u w:val="single" w:color="auto"/>
                  <w:color w:val="0000EE"/>
                </w:rPr>
                <w:t>Exhibits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Times New Roman" w:cs="Times New Roman" w:eastAsia="Times New Roman" w:hAnsi="Times New Roman"/>
                <w:sz w:val="16"/>
                <w:szCs w:val="16"/>
                <w:u w:val="single" w:color="auto"/>
                <w:color w:val="0000EE"/>
              </w:rPr>
            </w:pPr>
            <w:hyperlink w:anchor="page41">
              <w:r>
                <w:rPr>
                  <w:rFonts w:ascii="Times New Roman" w:cs="Times New Roman" w:eastAsia="Times New Roman" w:hAnsi="Times New Roman"/>
                  <w:sz w:val="16"/>
                  <w:szCs w:val="16"/>
                  <w:u w:val="single" w:color="auto"/>
                  <w:color w:val="0000EE"/>
                </w:rPr>
                <w:t>Signatures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43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$3,706 (2020)</w:t>
            </w:r>
          </w:p>
        </w:tc>
        <w:tc>
          <w:tcPr>
            <w:tcW w:w="2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9"/>
              </w:rPr>
              <w:t>$3,366 (2019)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Advances to suppliers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8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127,515</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FreshRealm</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80" w:type="dxa"/>
            <w:vAlign w:val="bottom"/>
            <w:shd w:val="clear" w:color="auto" w:fill="CCEEFF"/>
          </w:tcPr>
          <w:p>
            <w:pPr>
              <w:spacing w:after="0"/>
              <w:rPr>
                <w:sz w:val="18"/>
                <w:szCs w:val="18"/>
                <w:color w:val="auto"/>
              </w:rPr>
            </w:pPr>
          </w:p>
        </w:tc>
      </w:tr>
      <w:tr>
        <w:trPr>
          <w:trHeight w:val="250"/>
        </w:trPr>
        <w:tc>
          <w:tcPr>
            <w:tcW w:w="432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437,265</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390,360</w:t>
            </w:r>
          </w:p>
        </w:tc>
        <w:tc>
          <w:tcPr>
            <w:tcW w:w="280" w:type="dxa"/>
            <w:vAlign w:val="bottom"/>
            <w:tcBorders>
              <w:bottom w:val="single" w:sz="8" w:color="CCEEFF"/>
            </w:tcBorders>
          </w:tcPr>
          <w:p>
            <w:pPr>
              <w:spacing w:after="0"/>
              <w:rPr>
                <w:sz w:val="21"/>
                <w:szCs w:val="2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 to growers</w:t>
            </w:r>
          </w:p>
        </w:tc>
        <w:tc>
          <w:tcPr>
            <w:tcW w:w="2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payable</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shd w:val="clear" w:color="auto" w:fill="CCEEFF"/>
          </w:tcPr>
          <w:p>
            <w:pPr>
              <w:spacing w:after="0"/>
              <w:rPr>
                <w:sz w:val="18"/>
                <w:szCs w:val="18"/>
                <w:color w:val="auto"/>
              </w:rPr>
            </w:pPr>
          </w:p>
        </w:tc>
      </w:tr>
      <w:tr>
        <w:trPr>
          <w:trHeight w:val="209"/>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8"/>
        </w:trPr>
        <w:tc>
          <w:tcPr>
            <w:tcW w:w="64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17,657 (2020) and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17,595 (2019) shares issued and outstanding)</w:t>
            </w:r>
          </w:p>
        </w:tc>
        <w:tc>
          <w:tcPr>
            <w:tcW w:w="2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20"/>
                <w:szCs w:val="20"/>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161,606</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122,557</w:t>
            </w:r>
          </w:p>
        </w:tc>
        <w:tc>
          <w:tcPr>
            <w:tcW w:w="28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285,869</w:t>
            </w: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437,265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390,360</w:t>
            </w:r>
          </w:p>
        </w:tc>
        <w:tc>
          <w:tcPr>
            <w:tcW w:w="28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359,332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323,557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800,152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Temecula packinghouse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reserve for FreshRealm note receivable and impairment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and realized net gain (loss) on Limoneira shares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(loss) before provision (benefit) for income taxes and loss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unconsolidated entities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89)</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13)</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17,605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17,558</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(19,980)</w:t>
            </w:r>
          </w:p>
        </w:tc>
        <w:tc>
          <w:tcPr>
            <w:tcW w:w="3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31,409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losses on accounts receivable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6,375</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and realized net loss on Limoneira 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reserve for FreshRealm note receivable and impairment of investment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37,192</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income on notes to FreshRealm</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 on FreshRealm reserve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(6,363)</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4,873</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long-term liabilities</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(12,722)</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20,356</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60,482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of and deposits on property, plant, and equipment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SFFI, net of cash acquired of $623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for repayment of San Rafael note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Limoneira stock sales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Temecula packinghouse</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FreshRealm</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Notes receivables advanced to FreshRealm</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(28,222)</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(23,208)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172,450</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(147,850)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3,466</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(33,626)</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(4,400)</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3,648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7,973</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3,573</w:t>
            </w: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5,168</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102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Notes receivable from FreshRealm converted to investment in FreshRealm</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2,761</w:t>
            </w:r>
          </w:p>
        </w:tc>
        <w:tc>
          <w:tcPr>
            <w:tcW w:w="3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Acquisitions of property, plant, and equipment with capital lease</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2,827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Capital lease related to Temecula packinghouse</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3,306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568</w:t>
            </w:r>
          </w:p>
        </w:tc>
        <w:tc>
          <w:tcPr>
            <w:tcW w:w="3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2,484</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Collection for Agricola Belher Infrastructure Advance</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800</w:t>
            </w:r>
          </w:p>
        </w:tc>
        <w:tc>
          <w:tcPr>
            <w:tcW w:w="320" w:type="dxa"/>
            <w:vAlign w:val="bottom"/>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CONDENSED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October 31, 2018</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17,567</w:t>
            </w:r>
          </w:p>
        </w:tc>
        <w:tc>
          <w:tcPr>
            <w:tcW w:w="3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157,928</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93,124</w:t>
            </w:r>
          </w:p>
        </w:tc>
        <w:tc>
          <w:tcPr>
            <w:tcW w:w="30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264,959</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gains on Limoneira investment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(12,141)</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reclassed to retained earnings</w:t>
            </w: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Calavo Growers, Inc.</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4,487</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31, 2019</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17,593</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158,941</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109,752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270,453</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Calavo Growers, Inc.</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16,345</w:t>
            </w: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April 30, 2019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17,595</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159,838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126,097</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287,628</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Calavo Growers, Inc.</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10,603</w:t>
            </w: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July 31, 2019</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160,722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136,700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299,162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October 31, 2019</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17,595</w:t>
            </w:r>
          </w:p>
        </w:tc>
        <w:tc>
          <w:tcPr>
            <w:tcW w:w="3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161,606</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$ 122,557</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285,869</w:t>
            </w:r>
          </w:p>
        </w:tc>
        <w:tc>
          <w:tcPr>
            <w:tcW w:w="0" w:type="dxa"/>
            <w:vAlign w:val="bottom"/>
          </w:tcPr>
          <w:p>
            <w:pPr>
              <w:spacing w:after="0"/>
              <w:rPr>
                <w:sz w:val="1"/>
                <w:szCs w:val="1"/>
                <w:color w:val="auto"/>
              </w:rPr>
            </w:pPr>
          </w:p>
        </w:tc>
      </w:tr>
      <w:tr>
        <w:trPr>
          <w:trHeight w:val="126"/>
        </w:trPr>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adjustment on ASC 842</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related to leases</w:t>
            </w: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Calavo Growers, Inc.</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January 31, 2020</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17,614</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287,011</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26"/>
        </w:trPr>
        <w:tc>
          <w:tcPr>
            <w:tcW w:w="3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Payments of minimum withholding taxes on net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Calavo Growers, Inc.</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w:t>
            </w: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April 30, 2020</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17,639</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163,230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119,506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284,250</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and income tax benefit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contribution</w:t>
            </w: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attributable to Calavo Growers, Inc.</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(15,636)</w:t>
            </w: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July 31, 2020</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164,082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$ 103,870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269,530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88"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2019.</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In June 2018, the FASB issued an ASU</w:t>
      </w:r>
      <w:r>
        <w:rPr>
          <w:rFonts w:ascii="Times New Roman" w:cs="Times New Roman" w:eastAsia="Times New Roman" w:hAnsi="Times New Roman"/>
          <w:sz w:val="18"/>
          <w:szCs w:val="18"/>
          <w:i w:val="1"/>
          <w:iCs w:val="1"/>
          <w:color w:val="auto"/>
        </w:rPr>
        <w:t>, Improvements to Nonemployee Share-Based Payment Accounting</w:t>
      </w:r>
      <w:r>
        <w:rPr>
          <w:rFonts w:ascii="Times New Roman" w:cs="Times New Roman" w:eastAsia="Times New Roman" w:hAnsi="Times New Roman"/>
          <w:sz w:val="18"/>
          <w:szCs w:val="18"/>
          <w:color w:val="auto"/>
        </w:rPr>
        <w:t>. The FASB is issuing this update to simplify the accounting for share-based payments to nonemployees by aligning it with the accounting for share-based payments to employees, with certain exceptions. This ASU was effective for us beginning the first day of our 2020 fiscal year. The adoption of the amendment did not have an impact on the Company’s consolidated financial statements.</w:t>
      </w:r>
    </w:p>
    <w:p>
      <w:pPr>
        <w:spacing w:after="0" w:line="183"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February 2018, the FASB issued an ASU, </w:t>
      </w:r>
      <w:r>
        <w:rPr>
          <w:rFonts w:ascii="Times New Roman" w:cs="Times New Roman" w:eastAsia="Times New Roman" w:hAnsi="Times New Roman"/>
          <w:sz w:val="18"/>
          <w:szCs w:val="18"/>
          <w:i w:val="1"/>
          <w:iCs w:val="1"/>
          <w:color w:val="auto"/>
        </w:rPr>
        <w:t>Reclassification of Certain Tax Effects From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which amends Accounting Standards Codification ("ASC") 220, Income Statement —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was effective for us beginning the first day of our 2020 fiscal year. The adoption of the amendment did not have an impact on the Company’s consolidated financial statements.</w:t>
      </w:r>
    </w:p>
    <w:p>
      <w:pPr>
        <w:spacing w:after="0" w:line="185" w:lineRule="exact"/>
        <w:rPr>
          <w:sz w:val="20"/>
          <w:szCs w:val="20"/>
          <w:color w:val="auto"/>
        </w:rPr>
      </w:pPr>
    </w:p>
    <w:p>
      <w:pPr>
        <w:jc w:val="both"/>
        <w:ind w:left="40" w:right="59" w:firstLine="30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40" w:right="99" w:firstLine="225"/>
        <w:spacing w:after="0" w:line="256"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Targeted Improvements to Related Party Guidance for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This ASU provides that indirect interests held through related parties in common control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3"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2018, the FASB issued an ASU, </w:t>
      </w:r>
      <w:r>
        <w:rPr>
          <w:rFonts w:ascii="Times New Roman" w:cs="Times New Roman" w:eastAsia="Times New Roman" w:hAnsi="Times New Roman"/>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Times New Roman" w:cs="Times New Roman" w:eastAsia="Times New Roman" w:hAnsi="Times New Roman"/>
          <w:sz w:val="18"/>
          <w:szCs w:val="18"/>
          <w:color w:val="auto"/>
        </w:rPr>
        <w:t>This ASU requires implementation costs incurred by customers in cloud computing arrangements (i.e., hosting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8"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an ASU,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3" w:lineRule="exact"/>
        <w:rPr>
          <w:sz w:val="20"/>
          <w:szCs w:val="20"/>
          <w:color w:val="auto"/>
        </w:rPr>
      </w:pPr>
    </w:p>
    <w:p>
      <w:pPr>
        <w:ind w:left="40" w:right="79" w:firstLine="270"/>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subsequent amendments to the guidance</w:t>
      </w:r>
      <w:r>
        <w:rPr>
          <w:rFonts w:ascii="Times New Roman" w:cs="Times New Roman" w:eastAsia="Times New Roman" w:hAnsi="Times New Roman"/>
          <w:sz w:val="18"/>
          <w:szCs w:val="18"/>
          <w:color w:val="auto"/>
        </w:rPr>
        <w:t>, ASU 2018-19 in November 2018 and ASU 2019-05 in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including codification improvements to Topic 326 in ASU 2019-04. The standard significantly changes how entities will measure credit losses for most financial assets and certain other instruments that aren’t measured at fair 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16" w:lineRule="exact"/>
        <w:rPr>
          <w:sz w:val="20"/>
          <w:szCs w:val="20"/>
          <w:color w:val="auto"/>
        </w:rPr>
      </w:pPr>
    </w:p>
    <w:p>
      <w:pPr>
        <w:ind w:left="40" w:right="199" w:firstLine="259"/>
        <w:spacing w:after="0" w:line="256" w:lineRule="auto"/>
        <w:rPr>
          <w:sz w:val="20"/>
          <w:szCs w:val="20"/>
          <w:color w:val="auto"/>
        </w:rPr>
      </w:pPr>
      <w:r>
        <w:rPr>
          <w:rFonts w:ascii="Times New Roman" w:cs="Times New Roman" w:eastAsia="Times New Roman" w:hAnsi="Times New Roman"/>
          <w:sz w:val="18"/>
          <w:szCs w:val="18"/>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Calavo Foods segment represents operations related to the purchase, manufacturing, and distribution of prepared avocado products, including guacamole, and salsa. The RFG segment represents operations related to the manufacturing and distribution of fresh-cut fruit, fresh-cut vegetables,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66" w:lineRule="auto"/>
        <w:rPr>
          <w:sz w:val="20"/>
          <w:szCs w:val="20"/>
          <w:color w:val="auto"/>
        </w:rPr>
      </w:pPr>
      <w:r>
        <w:rPr>
          <w:rFonts w:ascii="Times New Roman" w:cs="Times New Roman" w:eastAsia="Times New Roman" w:hAnsi="Times New Roman"/>
          <w:sz w:val="18"/>
          <w:szCs w:val="18"/>
          <w:color w:val="auto"/>
        </w:rPr>
        <w:t>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bottom w:val="single" w:sz="8" w:color="auto"/>
            </w:tcBorders>
            <w:gridSpan w:val="1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 2020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Borders>
              <w:bottom w:val="single" w:sz="8" w:color="auto"/>
            </w:tcBorders>
            <w:gridSpan w:val="19"/>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July 31, 2019</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RFG</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Fresh</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RFG</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$ 145,670</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$ 145,670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$ 196,047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$ 196,047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Tomatoes</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13,827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Papayas</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fresh products</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Prepared avocado</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19,764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Salsa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Fresh-cut fruit &amp; veg.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prepared foods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91,200</w:t>
            </w: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91,200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274,060</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208,284</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28,357</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128,428</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365,069</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incentives</w:t>
            </w: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198"/>
        </w:trPr>
        <w:tc>
          <w:tcPr>
            <w:tcW w:w="1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inter-company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(1,604)</w:t>
            </w: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09"/>
        </w:trPr>
        <w:tc>
          <w:tcPr>
            <w:tcW w:w="1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$ 161,740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$ 17,762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$ 90,923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$ 270,425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$ 206,989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$ 359,332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5"/>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 July 31, 2020</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8"/>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 July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3"/>
                <w:szCs w:val="23"/>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RFG</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Fresh</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RFG</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$ 413,335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$ 413,335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$ 435,125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Tomatoes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Papayas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Other fresh products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Prepared avocado</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75,310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Salsa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Fresh-cut fruit &amp; veg.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prepared foods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306,853</w:t>
            </w: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306,853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362,607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467,491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306,853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837,170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478,209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77,762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362,607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918,578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incentives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inter-company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$ 465,099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$ 54,456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$ 305,386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$ 824,941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$ 474,779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68,258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360,564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$ 903,601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619"/>
              <w:spacing w:after="0"/>
              <w:rPr>
                <w:sz w:val="20"/>
                <w:szCs w:val="20"/>
                <w:color w:val="auto"/>
              </w:rPr>
            </w:pPr>
            <w:r>
              <w:rPr>
                <w:rFonts w:ascii="Times New Roman" w:cs="Times New Roman" w:eastAsia="Times New Roman" w:hAnsi="Times New Roman"/>
                <w:sz w:val="18"/>
                <w:szCs w:val="18"/>
                <w:color w:val="auto"/>
                <w:w w:val="99"/>
              </w:rPr>
              <w:t>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RFG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1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0"/>
              </w:rPr>
              <w:t>(All amounts</w:t>
            </w:r>
          </w:p>
        </w:tc>
        <w:tc>
          <w:tcPr>
            <w:tcW w:w="14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are presented</w:t>
            </w:r>
          </w:p>
        </w:tc>
        <w:tc>
          <w:tcPr>
            <w:tcW w:w="140" w:type="dxa"/>
            <w:vAlign w:val="bottom"/>
            <w:vMerge w:val="continue"/>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239,590</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2019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207,730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323,557</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466,197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824,941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756,223</w:t>
            </w:r>
          </w:p>
        </w:tc>
        <w:tc>
          <w:tcPr>
            <w:tcW w:w="0" w:type="dxa"/>
            <w:vAlign w:val="bottom"/>
          </w:tcPr>
          <w:p>
            <w:pPr>
              <w:spacing w:after="0"/>
              <w:rPr>
                <w:sz w:val="1"/>
                <w:szCs w:val="1"/>
                <w:color w:val="auto"/>
              </w:rPr>
            </w:pPr>
          </w:p>
        </w:tc>
      </w:tr>
      <w:tr>
        <w:trPr>
          <w:trHeight w:val="249"/>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38,721</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68,718</w:t>
            </w:r>
          </w:p>
        </w:tc>
        <w:tc>
          <w:tcPr>
            <w:tcW w:w="0" w:type="dxa"/>
            <w:vAlign w:val="bottom"/>
          </w:tcPr>
          <w:p>
            <w:pPr>
              <w:spacing w:after="0"/>
              <w:rPr>
                <w:sz w:val="1"/>
                <w:szCs w:val="1"/>
                <w:color w:val="auto"/>
              </w:rPr>
            </w:pPr>
          </w:p>
        </w:tc>
      </w:tr>
      <w:tr>
        <w:trPr>
          <w:trHeight w:val="197"/>
        </w:trPr>
        <w:tc>
          <w:tcPr>
            <w:tcW w:w="3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2019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476,586</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903,601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800,152</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79" w:firstLine="225"/>
        <w:spacing w:after="0" w:line="256" w:lineRule="auto"/>
        <w:rPr>
          <w:sz w:val="20"/>
          <w:szCs w:val="20"/>
          <w:color w:val="auto"/>
        </w:rPr>
      </w:pPr>
      <w:r>
        <w:rPr>
          <w:rFonts w:ascii="Times New Roman" w:cs="Times New Roman" w:eastAsia="Times New Roman" w:hAnsi="Times New Roman"/>
          <w:sz w:val="18"/>
          <w:szCs w:val="18"/>
          <w:color w:val="auto"/>
        </w:rPr>
        <w:t>For the three months ended July 31, 2020 and 2019, intercompany sales and cost of sales of $0.4 million and $0.5 million between Fresh products and RFG were eliminated. For the nine months ended July 31, 2020 and 2019, intercompany sales and cost of sales of $1.1 million and $1.4 million between Fresh products and RFG were eliminated. For the three months ended July 31, 2020 and 2019, intercompany sales and cost of sales of $1.2 million and $1.0 million between Calavo Foods and RFG were eliminated. For the nine months ended July 31, 2020 and 2019, intercompany sales and cost of sales of $2.8 million and $2.7 million between Calavo Foods and RFG were eliminated.</w:t>
      </w:r>
    </w:p>
    <w:p>
      <w:pPr>
        <w:spacing w:after="0" w:line="12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$6.5 million, and $12.3 million for the three months ended July 31, 2020 and 2019. Sales to customers outside the U.S. were approximately $21.9 million, and $32.1 million for the nine months ended July 31, 2020 and 2019.</w:t>
      </w:r>
    </w:p>
    <w:p>
      <w:pPr>
        <w:spacing w:after="0" w:line="108" w:lineRule="exact"/>
        <w:rPr>
          <w:sz w:val="20"/>
          <w:szCs w:val="20"/>
          <w:color w:val="auto"/>
        </w:rPr>
      </w:pPr>
    </w:p>
    <w:p>
      <w:pPr>
        <w:ind w:left="40" w:right="139" w:firstLine="270"/>
        <w:spacing w:after="0" w:line="252"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Due to the extraordinary foreign exchange market volatility of the Mexican peso, we recognized significant foreign currency remeasurement losses in the current quarter. These losses were due primarily to certain significant long-term net peso receivables for which hedging is not economically feasible. The Mexican peso weakened significantly compared to the U.S. dollar from 18.91 (MX peso to U.S. dollar) at January 31, 2020 to 23.93 (MX peso to U.S. dollar) at April 30, 2020. The Mexican peso recovered somewhat to 22.20 (MX Peso to U.S. dollar) at July 31, 2020. Foreign currency remeasurement gains, net of losses, for the three months ended July 31, 2020 was $1.4 million. Foreign currency remeasurement losses, net of gains, for the three months ended July 31, 2019 was $0.1 million. For the nine months ended July 31, 2020 and 2019, foreign currency remeasurement losses, net of gains were $1.9 million and $0.1 million.</w:t>
      </w:r>
    </w:p>
    <w:p>
      <w:pPr>
        <w:spacing w:after="0" w:line="130" w:lineRule="exact"/>
        <w:rPr>
          <w:sz w:val="20"/>
          <w:szCs w:val="20"/>
          <w:color w:val="auto"/>
        </w:rPr>
      </w:pPr>
    </w:p>
    <w:p>
      <w:pPr>
        <w:ind w:left="40" w:right="919" w:firstLine="259"/>
        <w:spacing w:after="0" w:line="282" w:lineRule="auto"/>
        <w:rPr>
          <w:sz w:val="20"/>
          <w:szCs w:val="20"/>
          <w:color w:val="auto"/>
        </w:rPr>
      </w:pPr>
      <w:r>
        <w:rPr>
          <w:rFonts w:ascii="Times New Roman" w:cs="Times New Roman" w:eastAsia="Times New Roman" w:hAnsi="Times New Roman"/>
          <w:sz w:val="18"/>
          <w:szCs w:val="18"/>
          <w:color w:val="auto"/>
        </w:rPr>
        <w:t>Long-lived assets attributed to geographic areas as of July 31, 2020 and October 31, 2019, are as follows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2020</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130,923</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2019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33,874</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Inventories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$ 16,133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$ 43,944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$0.3 million in slow moving and obsolete packing supply inventory as of July 31, 2020 and October 31, 2019. No additional inventory reserve was considered necessary as of July 31, 2020 and October 31, 2019.</w:t>
      </w:r>
    </w:p>
    <w:p>
      <w:pPr>
        <w:spacing w:after="0" w:line="17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months ended July 31, 2020 and 2019, the aggregate amount of avocados procured from entities owned or controlled by members of our Board of Directors was $9.1 million and $10.0 million. For the nine months ended July 31, 2020 and 2019, the aggregate amount of avocados procured from entities owned or controlled by members of our Board of Directors was $15.3 million and $11.7 million. Amounts payable to these Board members were $4.1 million as of July 31, 2020. We did not have any amounts payable to these Board members as of October 31, 2019.</w:t>
      </w:r>
    </w:p>
    <w:p>
      <w:pPr>
        <w:spacing w:after="0" w:line="189"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31, 2020 and 2019, we received $0.2 million and $0.1 million as dividend income from Limoneira Company (Limoneira). During the nine months ended July 31, 2020 and 2019, we received $0.4 million and $0.3 million as dividend income from Limoneira. In addition, we lease office space from Limoneira for our corporate office. We paid rent expense to Limoneira totaling $0.1 million for the three months ended July 31, 2020 and 2019. We paid rent expense to Limoneira totaling $0.3 million for the nine months ended July 31, 2020 and 2019. Harold Edwards, who is a member of our Board of Directors, is the Chief Executive Officer of Limoneira Company. As of July 31, 2020, we own less than 10% of Limoneira’s outstanding shares.</w:t>
      </w:r>
    </w:p>
    <w:p>
      <w:pPr>
        <w:spacing w:after="0" w:line="189"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We currently have a member of our Board of Directors who also serves as a partner in the law firm of TroyGould PC, which frequently represents Calavo as legal counsel. During the three months ended July 31, 2020 and 2019, Calavo Growers, Inc. paid fees totaling $0.1 million to TroyGould PC. During the nine months ended July 31, 2020 and 2019, Calavo Growers, Inc. paid fees totaling $0.3 million to TroyGould PC.</w:t>
      </w:r>
    </w:p>
    <w:p>
      <w:pPr>
        <w:spacing w:after="0" w:line="180"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As of July 31, 2020, and October 31, 2019, we had an investment of $5.8 million and $4.9 million, representing Calavo’s 50% ownership in Agricola Don Memo, S.A. de C.V.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October 31, 2019, we had outstanding advances of $3.7 million to Don Memo. During the three months ended July 31, 2020 and 2019, we recorded $10.6 million and $4.8 million of cost of sales to Don Memo pursuant to our consignment agreement. During the nine months ended July 31, 2020 and 2019, we recorded $15.2 million and $10.7 million of cost of sales to Don Memo pursuant to our consignment agreement.</w:t>
      </w:r>
    </w:p>
    <w:p>
      <w:pPr>
        <w:spacing w:after="0" w:line="188"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We make advances to Agricola Belher (“Belher”) for operating purposes, provide additional advances as shipments are made during the season, and return the proceeds from tomato sales under our marketing program to Belher, net of our commission and aforementioned advances. We had grower advances due from Belher totaling $2.5 million and $4.5 million as of July 31, 2020 and October 31, 2019, which are netted against the grower payable. In addition, we had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infrastructure advances due from Belher of $1.8 million and $2.6 million as of July 31, 2020 and October 31, 2019. $0.6 million and $0.8 million of these infrastructure advances were recorded as a receivable in prepaid and other current asset as of July 31, 2020 and October 31, 2019. The remaining $1.2 million and $1.8 million of these infrastructure advances were recorded in other assets. During the three months ended July 31, 2020 and 2019, we recorded $4.0 million and $1.9 million of cost of sales to Belher pursuant to our consignment agreement. During the nine months ended July 31, 2020 and 2019, we recorded $23.6 million and $19.6 million of cost of sales to Belher pursuant to our consignment agreement.</w:t>
      </w:r>
    </w:p>
    <w:p>
      <w:pPr>
        <w:spacing w:after="0" w:line="18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S.A.P.I. de C.V. (“Avocados de Jalisco”). Avocados de Jalisco is a Mexican corporation created to engage in procuring, packing and selling avocados. As of July 31, 2020, this entity was approximately 83% owned by Calavo and was consolidated in our financial statements. Avocados de Jalisco built a packinghouse located in Jalisco, Mexico, which began operations in June of 2017. During the three months ended July 31, 2020 and 2019, we purchased approximately $3.5 million and $4.5 million of avocados from the partners of Avocados de Jalisco. During the nine months ended July 31, 2020 and 2019, we purchased approximately $5.4 million and $8.1 million of avocados from the partners of Avocados de Jalisco.</w:t>
      </w:r>
    </w:p>
    <w:p>
      <w:pPr>
        <w:spacing w:after="0" w:line="192"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As of October 31, 2019, we have an equity investment of $5.8 million in FreshRealm, LLC (“FreshRealm”). During the quarter ended July 31, 2020, we concluded that there was no longer any value associated with our FreshRealm investment and therefore recognized a $2.8 million impairment charge to fully impair the investment. We record the amount of our investment in FreshRealm in “Investment in unconsolidated entities” on our Consolidated Condensed Balance Sheets and recognize losses in FreshRealm in “Income/ (loss) from unconsolidated entities” in our Consolidated Condensed Statement of Operations. See Note 12 and Note 18 for additional information. As of July 31, 2020, our ownership percentage in FreshRealm was approximately 37%.</w:t>
      </w:r>
    </w:p>
    <w:p>
      <w:pPr>
        <w:spacing w:after="0" w:line="189" w:lineRule="exact"/>
        <w:rPr>
          <w:sz w:val="20"/>
          <w:szCs w:val="20"/>
          <w:color w:val="auto"/>
        </w:rPr>
      </w:pPr>
    </w:p>
    <w:p>
      <w:pPr>
        <w:ind w:left="40" w:right="219" w:firstLine="259"/>
        <w:spacing w:after="0" w:line="254" w:lineRule="auto"/>
        <w:rPr>
          <w:sz w:val="20"/>
          <w:szCs w:val="20"/>
          <w:color w:val="auto"/>
        </w:rPr>
      </w:pPr>
      <w:r>
        <w:rPr>
          <w:rFonts w:ascii="Times New Roman" w:cs="Times New Roman" w:eastAsia="Times New Roman" w:hAnsi="Times New Roman"/>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the NMUPA, we entered into a $12 million Senior Promissory Note and corresponding Security Agreement with FreshRealm, effective August 10, 2018. We funded $9 million of this loan commitment during the fourth quarter of fiscal 2018 and funded the remaining loan commitment amount of $3 million during the first quarter of fiscal 2019. During the second quarter of fiscal 2019, we amended the note related to this loan, due October 31, 2019, and, among other things, included a provision whereby we have the option to extend repayment of this note to November 1, 2020.</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During our first quarter of fiscal 2019, we loaned FreshRealm $7.5 million in unsecured notes receivable. During our second quarter of fiscal 2019, we loaned an additional $4.2 million on an unsecured basis to FreshRealm under similar terms. During our third quarter of fiscal 2019, we loaned an additional $5.4 million on an unsecured basis to FreshRealm under similar terms. During our fourth quarter of fiscal 2019, we loaned an additional $3.7 million to FreshRealm. At such time, we entered into an agreement with FreshRealm wherein all of the outstanding loan amount owed by FreshRealm to us would be secured by substantially all of the assets of FreshRealm.</w:t>
      </w:r>
    </w:p>
    <w:p>
      <w:pPr>
        <w:spacing w:after="0" w:line="187"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As of November 25, 2019, we modified approximately $2.7 million of the outstanding secured loan to FreshRealm and applied it to unsecured debt as part of a convertible note round offered by FreshRealm to its existing equity holders. Such convertible note bears interest at the rate of 10% up to the time of conversion. Such $2.7 million unsecured note, along with the related accrued interest amount, was converted into additional equity of FreshRealm as of February 3, 2020. As a result of the convertible note round offered by FreshRealm our ownership percentage in FreshRealm (upon conversion on February 3, 2020) decreased to approximately 37%.</w:t>
      </w:r>
    </w:p>
    <w:p>
      <w:pPr>
        <w:spacing w:after="0" w:line="187"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April 1, 2020, we entered into another Unit Purchase and Subscription Agreement with FreshRealm, where FreshRealm raised $4.0 million of additional equity from existing members. As part of that round, we invested $0.5 million in cash and additionally converted the $1.0 million short-term advanced in February 2020 into equity. Our ownership percentage in FreshRealm remained unchanged at 37%.</w:t>
      </w:r>
    </w:p>
    <w:p>
      <w:pPr>
        <w:spacing w:after="0" w:line="180" w:lineRule="exact"/>
        <w:rPr>
          <w:sz w:val="20"/>
          <w:szCs w:val="20"/>
          <w:color w:val="auto"/>
        </w:rPr>
      </w:pPr>
    </w:p>
    <w:p>
      <w:pPr>
        <w:ind w:left="40" w:right="459" w:firstLine="259"/>
        <w:spacing w:after="0" w:line="312" w:lineRule="auto"/>
        <w:rPr>
          <w:sz w:val="20"/>
          <w:szCs w:val="20"/>
          <w:color w:val="auto"/>
        </w:rPr>
      </w:pPr>
      <w:r>
        <w:rPr>
          <w:rFonts w:ascii="Times New Roman" w:cs="Times New Roman" w:eastAsia="Times New Roman" w:hAnsi="Times New Roman"/>
          <w:sz w:val="17"/>
          <w:szCs w:val="17"/>
          <w:color w:val="auto"/>
        </w:rPr>
        <w:t>As of July 31, 2020, and October 31, 2019, we have $34.2 million and $35.2 million in note receivables (including interest) from FreshRealm. During the quarter ended July 31, 2020, we fully reserved our note receivable balance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$34.2 million (which includes accrued interest of $4.1 million). See Note 18 for additional discussion of reserve for collectability of this note receivable.</w:t>
      </w:r>
    </w:p>
    <w:p>
      <w:pPr>
        <w:spacing w:after="0" w:line="154" w:lineRule="exact"/>
        <w:rPr>
          <w:sz w:val="20"/>
          <w:szCs w:val="20"/>
          <w:color w:val="auto"/>
        </w:rPr>
      </w:pPr>
    </w:p>
    <w:p>
      <w:pPr>
        <w:ind w:left="40" w:right="239" w:firstLine="259"/>
        <w:spacing w:after="0" w:line="243" w:lineRule="auto"/>
        <w:rPr>
          <w:sz w:val="20"/>
          <w:szCs w:val="20"/>
          <w:color w:val="auto"/>
        </w:rPr>
      </w:pPr>
      <w:r>
        <w:rPr>
          <w:rFonts w:ascii="Times New Roman" w:cs="Times New Roman" w:eastAsia="Times New Roman" w:hAnsi="Times New Roman"/>
          <w:sz w:val="18"/>
          <w:szCs w:val="18"/>
          <w:color w:val="auto"/>
        </w:rPr>
        <w:t>On April 1, 2020, in connection with the $4.0 million capital raise previously mentioned, we entered into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amendment to the FreshRealm promissory note which adjusted the interest rate on the notes receivable from 10% to 3% effective April 1, 2020. This interest rate reduction was meant to serve as inducement for other investors to participate in FreshRealm’s on-going capital raise and was contingent on FreshRealm completing that equity round. They successfully raised the full $4 million equity round by the May 15, 2020 deadline. The entire principal balance of these notes shall be due and payable in full on April 1, 2022. If FreshRealm fails to make monthly interest payments beginning October 31, 2020, then the maturity date shall be reverted to November 1, 2020. Calavo has the option for up to two additional and separate one-year extensions of April 1, 2023 and April 1, 2024. At July 31, 2020 and October 31, 2019 we have a receivable of $4.1 million and $2.4 million related to accrued interest that we have recorded with note receivables from FreshRealm on the balance sheet. As described above, we have subsequently reserved our note receivable balance (including the interest accrued).</w:t>
      </w:r>
    </w:p>
    <w:p>
      <w:pPr>
        <w:spacing w:after="0" w:line="202"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One officer and five members of our board of directors have investments in FreshRealm as of July 31, 2020. In January 2018, one of our non-executive directors invested $1.8 million into FreshRealm. In the second quarter of fiscal 2018, two of our non-executive directors invested $1.2 million into FreshRealm. In October 2019, our former Chairman and Chief Executive Officer invested $0.5 million in FreshRealm. In October 2019, one of our non-executive directors invested $0.2 million into FreshRealm. In April 2020, our former Chairman and Chief Executive Officer invested $0.4 million in FreshRealm, and two other members of the board of directors invested an additional $0.1 million.</w:t>
      </w:r>
    </w:p>
    <w:p>
      <w:pPr>
        <w:spacing w:after="0" w:line="187" w:lineRule="exact"/>
        <w:rPr>
          <w:sz w:val="20"/>
          <w:szCs w:val="20"/>
          <w:color w:val="auto"/>
        </w:rPr>
      </w:pPr>
    </w:p>
    <w:p>
      <w:pPr>
        <w:ind w:left="40" w:right="59"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 We believe that we are able to fulfill our responsibility to this arrangement without significant impact on our results of operations.</w:t>
      </w:r>
    </w:p>
    <w:p>
      <w:pPr>
        <w:spacing w:after="0" w:line="183" w:lineRule="exact"/>
        <w:rPr>
          <w:sz w:val="20"/>
          <w:szCs w:val="20"/>
          <w:color w:val="auto"/>
        </w:rPr>
      </w:pPr>
    </w:p>
    <w:p>
      <w:pPr>
        <w:ind w:left="40" w:right="59" w:firstLine="304"/>
        <w:spacing w:after="0" w:line="256" w:lineRule="auto"/>
        <w:rPr>
          <w:sz w:val="20"/>
          <w:szCs w:val="20"/>
          <w:color w:val="auto"/>
        </w:rPr>
      </w:pPr>
      <w:r>
        <w:rPr>
          <w:rFonts w:ascii="Times New Roman" w:cs="Times New Roman" w:eastAsia="Times New Roman" w:hAnsi="Times New Roman"/>
          <w:sz w:val="18"/>
          <w:szCs w:val="18"/>
          <w:color w:val="auto"/>
        </w:rPr>
        <w:t>We provide storage services to FreshRealm from select Value-Added Depots and RFG facilities. We have recorded $0.1 million and $0.2 million in storage services revenue from FreshRealm in the three months ended July 31, 2020 and 2019. We have recorded $0.4 million and $0.4 million in storage services revenue from FreshRealm in the nine months ended July 31, 2020 and 2019. For the three months ended July 31, 2020 and 2019, RFG has sold less than $0.1 million and $0.1 million of products to FreshRealm. For the nine months ended July 31, 2020 and 2019, RFG has sold $0.3 million and $2.0 million of products to FreshRealm.</w:t>
      </w:r>
    </w:p>
    <w:p>
      <w:pPr>
        <w:spacing w:after="0" w:line="187" w:lineRule="exact"/>
        <w:rPr>
          <w:sz w:val="20"/>
          <w:szCs w:val="20"/>
          <w:color w:val="auto"/>
        </w:rPr>
      </w:pPr>
    </w:p>
    <w:p>
      <w:pPr>
        <w:ind w:left="40" w:right="379" w:firstLine="259"/>
        <w:spacing w:after="0" w:line="258" w:lineRule="auto"/>
        <w:rPr>
          <w:sz w:val="20"/>
          <w:szCs w:val="20"/>
          <w:color w:val="auto"/>
        </w:rPr>
      </w:pPr>
      <w:r>
        <w:rPr>
          <w:rFonts w:ascii="Times New Roman" w:cs="Times New Roman" w:eastAsia="Times New Roman" w:hAnsi="Times New Roman"/>
          <w:sz w:val="18"/>
          <w:szCs w:val="18"/>
          <w:color w:val="auto"/>
        </w:rPr>
        <w:t>The previous owners of RFG, one of which is currently the CEO of Calavo, have a majority ownership of certain entities that historically provided various services to RFG, specifically LIG Partners, LLC and THNC, LLC who leased property to certain RFG operating entities. In the first quarter of fiscal 2020, these facilities were sold to an unaffiliated third party and our lease has transferred to those new owners. See the following tables for the related party activity for fiscal years 2020 and 2019:</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96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5785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Rent paid to LIG</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Rent paid to THNC, LLC</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34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177</w:t>
            </w:r>
          </w:p>
        </w:tc>
      </w:tr>
      <w:tr>
        <w:trPr>
          <w:trHeight w:val="23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bl>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234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28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1" w:lineRule="exact"/>
        <w:rPr>
          <w:sz w:val="20"/>
          <w:szCs w:val="20"/>
          <w:color w:val="auto"/>
        </w:rPr>
      </w:pPr>
    </w:p>
    <w:p>
      <w:pPr>
        <w:sectPr>
          <w:pgSz w:w="11900" w:h="16838" w:orient="portrait"/>
          <w:cols w:equalWidth="0" w:num="2">
            <w:col w:w="6180" w:space="720"/>
            <w:col w:w="21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LIG</w:t>
            </w:r>
          </w:p>
        </w:tc>
        <w:tc>
          <w:tcPr>
            <w:tcW w:w="3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Rent paid to THNC, LLC</w:t>
            </w:r>
          </w:p>
        </w:tc>
        <w:tc>
          <w:tcPr>
            <w:tcW w:w="4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r>
      <w:tr>
        <w:trPr>
          <w:trHeight w:val="859"/>
        </w:trPr>
        <w:tc>
          <w:tcPr>
            <w:tcW w:w="3120" w:type="dxa"/>
            <w:vAlign w:val="bottom"/>
          </w:tcPr>
          <w:p>
            <w:pPr>
              <w:spacing w:after="0"/>
              <w:rPr>
                <w:sz w:val="24"/>
                <w:szCs w:val="24"/>
                <w:color w:val="auto"/>
              </w:rPr>
            </w:pPr>
          </w:p>
        </w:tc>
        <w:tc>
          <w:tcPr>
            <w:tcW w:w="354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Other assets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82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(see note 11)</w:t>
            </w: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$ 27,665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Infrastructure advance to Agricola Belher</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 (see note 15)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$ 41,093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6"/>
            <w:vMerge w:val="restart"/>
          </w:tcPr>
          <w:p>
            <w:pPr>
              <w:ind w:left="32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Book</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Book</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9,064</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7,640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9.3 years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indefinite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$ 10,700</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We anticipate recording amortization expense of $0.4 million for the remainder of fiscal 2020, $1.6 million for fiscal year 2021, $1.6 million for fiscal year 2022, $1.5 million for fiscal year 2023, and $5.6 million thereafter.</w:t>
      </w:r>
    </w:p>
    <w:p>
      <w:pPr>
        <w:spacing w:after="0" w:line="162"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On February 14, 2020, we completed the acquisition of SFFI (SFFI Company, Inc doing business as Simply Fresh Fruit). As part of this acquisition, $9.7 million has been assigned to customer relationships with a life of 7 years and $1.3 million has been assigned to trade names with a life of 10 years. Amortization recorded in fiscal 2020 related to this acquisition was $0.7 million and is included in selling, general and administrative in the consolidated condensed statement of operations.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11 for additional information related to Mexican IVA taxes receivable.</w:t>
      </w:r>
    </w:p>
    <w:p>
      <w:pPr>
        <w:spacing w:after="0" w:line="221"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0"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On May 11, 2020, as part of the employment agreement, Kevin Manion our newly appointed Chief Financial officer was granted 5,418 restricted shares. The closing price of our stock on such date was $55.37. These shares vest in one-third increments, on an annual basis. These shares were granted pursuant to our 2011 Plan. The total recognized stock-based compensation expense for these grants was less than $0.1 million for the three and nine months ended July 31, 2020.</w:t>
      </w:r>
    </w:p>
    <w:p>
      <w:pPr>
        <w:spacing w:after="0" w:line="180"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On June 17, 2020, as part of the employment agreement, James Gibson our newly appointed Chief Executive Officer was granted 13,053 restricted shares, based on the date of when he became Chief Executive Officer. The closing price of our stock on such date was $76.61. These shares vest in one-third increments, on an annual basis. These shares were granted pursuant to our 2011 Plan. The total recognized stock-based compensation expense for these grants was $0.1 million for the three and nine months ended July 31,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60" w:firstLine="259"/>
        <w:spacing w:after="0" w:line="261" w:lineRule="auto"/>
        <w:rPr>
          <w:sz w:val="20"/>
          <w:szCs w:val="20"/>
          <w:color w:val="auto"/>
        </w:rPr>
      </w:pPr>
      <w:r>
        <w:rPr>
          <w:rFonts w:ascii="Times New Roman" w:cs="Times New Roman" w:eastAsia="Times New Roman" w:hAnsi="Times New Roman"/>
          <w:sz w:val="18"/>
          <w:szCs w:val="18"/>
          <w:color w:val="auto"/>
        </w:rPr>
        <w:t>On April 22, 2020, three of our former officers were granted a total 18,324 unrestricted shares, as part of their past services. The closing price of our stock on such date was $61.09. These shares were granted pursuant to our 2011 Plan. The total recognized stock-based compensation expense for these grants was $1.1 million for the nine months ended July 31, 2020.</w:t>
      </w:r>
    </w:p>
    <w:p>
      <w:pPr>
        <w:spacing w:after="0" w:line="180" w:lineRule="exact"/>
        <w:rPr>
          <w:sz w:val="20"/>
          <w:szCs w:val="20"/>
          <w:color w:val="auto"/>
        </w:rPr>
      </w:pPr>
    </w:p>
    <w:p>
      <w:pPr>
        <w:ind w:left="60" w:right="140" w:firstLine="259"/>
        <w:spacing w:after="0" w:line="255" w:lineRule="auto"/>
        <w:rPr>
          <w:sz w:val="20"/>
          <w:szCs w:val="20"/>
          <w:color w:val="auto"/>
        </w:rPr>
      </w:pPr>
      <w:r>
        <w:rPr>
          <w:rFonts w:ascii="Times New Roman" w:cs="Times New Roman" w:eastAsia="Times New Roman" w:hAnsi="Times New Roman"/>
          <w:sz w:val="18"/>
          <w:szCs w:val="18"/>
          <w:color w:val="auto"/>
        </w:rPr>
        <w:t>On January 2, 2020, all 12 of our non-employee directors were granted 1,500 restricted shares, as part of their annual compensation, each (total of 18,000 shares). These shares have full voting rights and participate in dividends as if unrestricted. The closing price of our stock on such date was $87.21. On January 2, 2021, as long as the directors are still serving on the board, these shares lose their restriction and become non-forfeitable and transferable. These shares were granted pursuant to our 2011 Plan. The total recognized stock-based compensation expense for these grants was $0.4 million for the three months ended July 31, 2020. The total recognized stock-based compensation expense for these grants was $0.9 million for the nine months ended July 31, 2020.</w:t>
      </w:r>
    </w:p>
    <w:p>
      <w:pPr>
        <w:spacing w:after="0" w:line="189" w:lineRule="exact"/>
        <w:rPr>
          <w:sz w:val="20"/>
          <w:szCs w:val="20"/>
          <w:color w:val="auto"/>
        </w:rPr>
      </w:pPr>
    </w:p>
    <w:p>
      <w:pPr>
        <w:ind w:left="60" w:right="120" w:firstLine="259"/>
        <w:spacing w:after="0" w:line="256" w:lineRule="auto"/>
        <w:rPr>
          <w:sz w:val="20"/>
          <w:szCs w:val="20"/>
          <w:color w:val="auto"/>
        </w:rPr>
      </w:pPr>
      <w:r>
        <w:rPr>
          <w:rFonts w:ascii="Times New Roman" w:cs="Times New Roman" w:eastAsia="Times New Roman" w:hAnsi="Times New Roman"/>
          <w:sz w:val="18"/>
          <w:szCs w:val="18"/>
          <w:color w:val="auto"/>
        </w:rPr>
        <w:t>On December 18, 2019, our executive officers were granted a total of 31,158 restricted shares. These shares have full voting rights and participate in dividends as if unrestricted. The closing price of our stock on such date was $87.63. These shares vest in one-third increments, on an annual basis, beginning December 18, 2020. These shares were granted pursuant to our 2011 Plan. The total recognized stock-based compensation expense for these grants was $0.2 million for the three months ended July 31, 2020. The total recognized stock-based compensation expense for these grants was $0.5 million for the nine months ended July 31, 2020.</w:t>
      </w:r>
    </w:p>
    <w:p>
      <w:pPr>
        <w:spacing w:after="0" w:line="187" w:lineRule="exact"/>
        <w:rPr>
          <w:sz w:val="20"/>
          <w:szCs w:val="20"/>
          <w:color w:val="auto"/>
        </w:rPr>
      </w:pPr>
    </w:p>
    <w:p>
      <w:pPr>
        <w:ind w:left="60" w:right="420" w:firstLine="259"/>
        <w:spacing w:after="0" w:line="261" w:lineRule="auto"/>
        <w:rPr>
          <w:sz w:val="20"/>
          <w:szCs w:val="20"/>
          <w:color w:val="auto"/>
        </w:rPr>
      </w:pPr>
      <w:r>
        <w:rPr>
          <w:rFonts w:ascii="Times New Roman" w:cs="Times New Roman" w:eastAsia="Times New Roman" w:hAnsi="Times New Roman"/>
          <w:sz w:val="18"/>
          <w:szCs w:val="18"/>
          <w:color w:val="auto"/>
        </w:rPr>
        <w:t>A summary of restricted stock activity, related to our 2011 Management Incentive Plan, is as follows (in thousands, except for per share amounts):</w:t>
      </w:r>
    </w:p>
    <w:tbl>
      <w:tblPr>
        <w:tblLayout w:type="fixed"/>
        <w:tblInd w:w="60" w:type="dxa"/>
        <w:tblCellMar>
          <w:top w:w="0" w:type="dxa"/>
          <w:left w:w="0" w:type="dxa"/>
          <w:bottom w:w="0" w:type="dxa"/>
          <w:right w:w="0" w:type="dxa"/>
        </w:tblCellMar>
      </w:tblPr>
      <w:tr>
        <w:trPr>
          <w:trHeight w:val="137"/>
        </w:trPr>
        <w:tc>
          <w:tcPr>
            <w:tcW w:w="5360" w:type="dxa"/>
            <w:vAlign w:val="bottom"/>
          </w:tcPr>
          <w:p>
            <w:pPr>
              <w:spacing w:after="0"/>
              <w:rPr>
                <w:sz w:val="11"/>
                <w:szCs w:val="11"/>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0" w:type="dxa"/>
            <w:vAlign w:val="bottom"/>
          </w:tcPr>
          <w:p>
            <w:pPr>
              <w:spacing w:after="0"/>
              <w:rPr>
                <w:sz w:val="11"/>
                <w:szCs w:val="11"/>
                <w:color w:val="auto"/>
              </w:rPr>
            </w:pPr>
          </w:p>
        </w:tc>
        <w:tc>
          <w:tcPr>
            <w:tcW w:w="130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1"/>
                <w:szCs w:val="11"/>
                <w:color w:val="auto"/>
              </w:rPr>
            </w:pPr>
          </w:p>
        </w:tc>
        <w:tc>
          <w:tcPr>
            <w:tcW w:w="86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0"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was $0.9 million for the three months ended July 31, 2020 and 2019. The total recognized stock-based compensation expense for restricted stock was $3.6 million and $2.7 million for the nine months ended July 31, 2020 and 2019. Total unrecognized stock-based compensation expense totaled $7.1 million as of July 31, 2020 and will be amortized through fiscal year 2023.</w:t>
      </w:r>
    </w:p>
    <w:p>
      <w:pPr>
        <w:spacing w:after="0" w:line="180" w:lineRule="exact"/>
        <w:rPr>
          <w:sz w:val="20"/>
          <w:szCs w:val="20"/>
          <w:color w:val="auto"/>
        </w:rPr>
      </w:pPr>
    </w:p>
    <w:p>
      <w:pPr>
        <w:jc w:val="both"/>
        <w:ind w:left="60" w:right="340"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68" w:lineRule="exact"/>
        <w:rPr>
          <w:sz w:val="20"/>
          <w:szCs w:val="20"/>
          <w:color w:val="auto"/>
        </w:rPr>
      </w:pPr>
    </w:p>
    <w:p>
      <w:pPr>
        <w:ind w:left="60" w:right="80" w:firstLine="259"/>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68" w:lineRule="exact"/>
        <w:rPr>
          <w:sz w:val="20"/>
          <w:szCs w:val="20"/>
          <w:color w:val="auto"/>
        </w:rPr>
      </w:pPr>
    </w:p>
    <w:p>
      <w:pPr>
        <w:ind w:left="60" w:right="100"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2005 Stock Incentive Plan, is as follows (in thousands, except for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July 31, 2020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00" w:firstLine="259"/>
        <w:spacing w:after="0" w:line="282" w:lineRule="auto"/>
        <w:rPr>
          <w:sz w:val="20"/>
          <w:szCs w:val="20"/>
          <w:color w:val="auto"/>
        </w:rPr>
      </w:pPr>
      <w:r>
        <w:rPr>
          <w:rFonts w:ascii="Times New Roman" w:cs="Times New Roman" w:eastAsia="Times New Roman" w:hAnsi="Times New Roman"/>
          <w:sz w:val="18"/>
          <w:szCs w:val="18"/>
          <w:color w:val="auto"/>
        </w:rPr>
        <w:t>The total recognized and unrecognized stock-based compensation expense was insignificant for the three and nine months ended July 31, 2020 and 2019.</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17" w:name="page18"/>
    <w:bookmarkEnd w:id="17"/>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Management Incentive Plan, is as follows (in thousands, except for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9"/>
        </w:trPr>
        <w:tc>
          <w:tcPr>
            <w:tcW w:w="56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July 31,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At July 31, 2020, outstanding and exercisable stock options had a weighted-average remaining contractual term of 3.4 years and 2.3 years. The total recognized and unrecognized stock-based compensation expense was insignificant for the three and nine months ended July 31, 2020 and 2019.</w:t>
      </w:r>
    </w:p>
    <w:p>
      <w:pPr>
        <w:spacing w:after="0" w:line="172"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w:t>
      </w:r>
    </w:p>
    <w:p>
      <w:pPr>
        <w:spacing w:after="0" w:line="229"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On December 6, 2019, we paid a $1.10 per share dividend in the aggregate amount of $19.4 million to shareholders of record on November 15, 2019.</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92"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As a result, in April 2019, the MFM issued a final tax assessment to CDM (the “2011 Assessment”) totaling approximately $2.2 billion Mexican pesos (approx. $98.9 million USD at July 31, 2020)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89"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(approx. $118.2 million USD at July 31, 2020) related to Income Tax, Flat Rate Business Tax, and Value Added Tax, related to this fiscal 2013 tax audit. Additionally, the tax authorities have determined that we owe an employee’s profit-sharing liability, totaling approximately $118 million Mexican pesos (approx. $5.4 million USD at July 31, 2020).</w:t>
      </w:r>
    </w:p>
    <w:p>
      <w:pPr>
        <w:spacing w:after="0" w:line="183"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92" w:lineRule="exact"/>
        <w:rPr>
          <w:sz w:val="20"/>
          <w:szCs w:val="20"/>
          <w:color w:val="auto"/>
        </w:rPr>
      </w:pPr>
    </w:p>
    <w:p>
      <w:pPr>
        <w:ind w:left="40" w:right="819" w:firstLine="259"/>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5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3" w:lineRule="exact"/>
        <w:rPr>
          <w:sz w:val="20"/>
          <w:szCs w:val="20"/>
          <w:color w:val="auto"/>
        </w:rPr>
      </w:pPr>
    </w:p>
    <w:p>
      <w:pPr>
        <w:ind w:left="40" w:right="319" w:firstLine="30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assets and liabilities as of July 31, 2020 that are measured on a recurring basis during the period, segregated by level within the fair value hierarchy:</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4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96"/>
        </w:trPr>
        <w:tc>
          <w:tcPr>
            <w:tcW w:w="4460" w:type="dxa"/>
            <w:vAlign w:val="bottom"/>
          </w:tcPr>
          <w:p>
            <w:pPr>
              <w:spacing w:after="0"/>
              <w:rPr>
                <w:sz w:val="17"/>
                <w:szCs w:val="17"/>
                <w:color w:val="auto"/>
              </w:rPr>
            </w:pPr>
          </w:p>
        </w:tc>
        <w:tc>
          <w:tcPr>
            <w:tcW w:w="2820" w:type="dxa"/>
            <w:vAlign w:val="bottom"/>
            <w:gridSpan w:val="9"/>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(All amounts are pres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 thousands)</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July 31, 2020: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$ 22,610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$ 22,610</w:t>
            </w:r>
          </w:p>
        </w:tc>
      </w:tr>
      <w:tr>
        <w:trPr>
          <w:trHeight w:val="209"/>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$ 22,610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$ 22,610</w:t>
            </w:r>
          </w:p>
        </w:tc>
      </w:tr>
      <w:tr>
        <w:trPr>
          <w:trHeight w:val="20"/>
        </w:trPr>
        <w:tc>
          <w:tcPr>
            <w:tcW w:w="4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October 31, 2019: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$ 31,734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$ 31,734</w:t>
            </w:r>
          </w:p>
        </w:tc>
      </w:tr>
      <w:tr>
        <w:trPr>
          <w:trHeight w:val="209"/>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$ 31,734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$ 31,734</w:t>
            </w:r>
          </w:p>
        </w:tc>
      </w:tr>
      <w:tr>
        <w:trPr>
          <w:trHeight w:val="20"/>
        </w:trPr>
        <w:tc>
          <w:tcPr>
            <w:tcW w:w="4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9" w:lineRule="exact"/>
        <w:rPr>
          <w:sz w:val="20"/>
          <w:szCs w:val="20"/>
          <w:color w:val="auto"/>
        </w:rPr>
      </w:pPr>
    </w:p>
    <w:p>
      <w:pPr>
        <w:ind w:left="1260" w:right="279" w:hanging="322"/>
        <w:spacing w:after="0" w:line="233" w:lineRule="auto"/>
        <w:tabs>
          <w:tab w:leader="none" w:pos="12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Limoneira Company consists of marketable securities in the Limoneira Company common stock. We currently own less than 10% of Limoneira’s outstanding common stock. These securities are measured at fair value using quoted market prices. For the three months ended July 31, 2020 and 2019, we recognized gains of $0.2 million and losses of $5.1 million on the consolidated condensed statement of income. For the nine months ended July 31, 2020 and 2019, we recognized losses of $9.1 million and $8.2 million on the consolidated condensed statement of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vMerge w:val="restart"/>
          </w:tcPr>
          <w:p>
            <w:pPr>
              <w:spacing w:after="0"/>
              <w:rPr>
                <w:sz w:val="13"/>
                <w:szCs w:val="13"/>
                <w:color w:val="auto"/>
              </w:rPr>
            </w:pPr>
          </w:p>
        </w:tc>
        <w:tc>
          <w:tcPr>
            <w:tcW w:w="22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60" w:type="dxa"/>
            <w:vAlign w:val="bottom"/>
          </w:tcPr>
          <w:p>
            <w:pPr>
              <w:spacing w:after="0"/>
              <w:rPr>
                <w:sz w:val="15"/>
                <w:szCs w:val="15"/>
                <w:color w:val="auto"/>
              </w:rPr>
            </w:pPr>
          </w:p>
        </w:tc>
        <w:tc>
          <w:tcPr>
            <w:tcW w:w="1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50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(15,636)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(19,852)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 Restricted stock/options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17,589</w:t>
            </w:r>
          </w:p>
        </w:tc>
      </w:tr>
      <w:tr>
        <w:trPr>
          <w:trHeight w:val="197"/>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Mexican IVA taxes receivable</w:t>
      </w:r>
    </w:p>
    <w:p>
      <w:pPr>
        <w:spacing w:after="0" w:line="229" w:lineRule="exact"/>
        <w:rPr>
          <w:sz w:val="20"/>
          <w:szCs w:val="20"/>
          <w:color w:val="auto"/>
        </w:rPr>
      </w:pPr>
    </w:p>
    <w:p>
      <w:pPr>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6"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As of July 31, 2020, and October 31, 2019, CDM IVA receivables totaled $27.7 million (614.2 million Mexican pesos) and $27.6 million (529.6 million Mexican pesos). Historically, CDM received IVA refund payments from the Mexican tax authorities on a timely basis. Beginning in fiscal 2014 and continuing into fiscal 2020,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92" w:lineRule="exact"/>
        <w:rPr>
          <w:sz w:val="20"/>
          <w:szCs w:val="20"/>
          <w:color w:val="auto"/>
        </w:rPr>
      </w:pPr>
    </w:p>
    <w:p>
      <w:pPr>
        <w:ind w:left="40" w:right="239" w:firstLine="259"/>
        <w:spacing w:after="0" w:line="312" w:lineRule="auto"/>
        <w:rPr>
          <w:sz w:val="20"/>
          <w:szCs w:val="20"/>
          <w:color w:val="auto"/>
        </w:rPr>
      </w:pPr>
      <w:r>
        <w:rPr>
          <w:rFonts w:ascii="Times New Roman" w:cs="Times New Roman" w:eastAsia="Times New Roman" w:hAnsi="Times New Roman"/>
          <w:sz w:val="17"/>
          <w:szCs w:val="17"/>
          <w:color w:val="auto"/>
        </w:rPr>
        <w:t>During the first quarter of fiscal 2017, tax authorities informed us that their internal opinion, based on the information provided by the local SAT office, considers that CDM is not properly documented relative to its declared tax structure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4"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2017. CDM has strong arguments and supporting documentation to sustain its declared tax structure for IVA and income tax purposes. With assistance of our internationally recognized tax advisory firm, as of July 31, 2020, CDM has filed (or has plans to file) administrative appeals for the IVA related to the preceding months. A response to these administrative appeals is currently pending resolution.</w:t>
      </w:r>
    </w:p>
    <w:p>
      <w:pPr>
        <w:spacing w:after="0" w:line="189"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FreshRealm</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A VIE refers to a legal business structure in which an investor has a controlling interest,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continue to believe that FreshRealm should be considered a 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July 31, 2020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consolidated condensed statement of operations, we have presented the income (loss) from unconsolidated entities, subsequent to the provision for income taxes for all periods presented.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the quarter ended July 31, 2020, we concluded that there was no longer any value associated with our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FreshRealm investment and therefore recognized a $2.8 million impairment charge to fully impair the investment. (see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Note 18). Our investment in FreshRealm totaled $5.8 million at October 31, 2019.</w:t>
      </w:r>
    </w:p>
    <w:p>
      <w:pPr>
        <w:spacing w:after="0" w:line="207" w:lineRule="exact"/>
        <w:rPr>
          <w:sz w:val="20"/>
          <w:szCs w:val="20"/>
          <w:color w:val="auto"/>
        </w:rPr>
      </w:pPr>
    </w:p>
    <w:p>
      <w:pPr>
        <w:ind w:left="40" w:right="79" w:firstLine="324"/>
        <w:spacing w:after="0" w:line="253" w:lineRule="auto"/>
        <w:rPr>
          <w:sz w:val="20"/>
          <w:szCs w:val="20"/>
          <w:color w:val="auto"/>
        </w:rPr>
      </w:pPr>
      <w:r>
        <w:rPr>
          <w:rFonts w:ascii="Times New Roman" w:cs="Times New Roman" w:eastAsia="Times New Roman" w:hAnsi="Times New Roman"/>
          <w:sz w:val="18"/>
          <w:szCs w:val="18"/>
          <w:color w:val="auto"/>
        </w:rPr>
        <w:t>For the three months ended July 31, 2020 and 2019, FreshRealm incurred losses totaling $4.9 million and $6.2 million. For the nine months ended July 31, 2020 and 2019, FreshRealm incurred losses totaling $19.3 million and $25.0 million.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15, 2018 totaling $4.2 million. Losses incurred by FreshRealm from December 16, 2018 to January 31, 2019 (after the change in tax status was effective) were recorded to reflect our proportionate share of FreshRealm losses which totaled $2.7 million. As a result, we realized total losses of $6.9 million in our first fiscal quarter of 2019. During our first and second fiscal quarter of 2020, we recorded losses of approximately $3.5 million and $1.9 million, reflecting our proportionate share of FreshRealm losses. During our three and nine months ended July 31, 2020, we recorded losses of approximately $1.8 million and $7.2 million, reflecting our proportionate share of FreshRealm losses. As a result of FreshRealm’s recent change in tax status (described above), future operating results for FreshRealm will be allocated to its owners based on ownership percentage. See Note 18 for more information on the reserve for collectability recorded on FreshRealm’s Note receivable and impairment charge recorded on the investment.</w:t>
      </w:r>
    </w:p>
    <w:p>
      <w:pPr>
        <w:spacing w:after="0" w:line="188" w:lineRule="exact"/>
        <w:rPr>
          <w:sz w:val="20"/>
          <w:szCs w:val="20"/>
          <w:color w:val="auto"/>
        </w:rPr>
      </w:pPr>
    </w:p>
    <w:p>
      <w:pPr>
        <w:ind w:left="40" w:right="479" w:firstLine="324"/>
        <w:spacing w:after="0" w:line="266" w:lineRule="auto"/>
        <w:rPr>
          <w:sz w:val="20"/>
          <w:szCs w:val="20"/>
          <w:color w:val="auto"/>
        </w:rPr>
      </w:pPr>
      <w:r>
        <w:rPr>
          <w:rFonts w:ascii="Times New Roman" w:cs="Times New Roman" w:eastAsia="Times New Roman" w:hAnsi="Times New Roman"/>
          <w:sz w:val="18"/>
          <w:szCs w:val="18"/>
          <w:color w:val="auto"/>
        </w:rPr>
        <w:t>As of July 31, 2020, and October 31, 2019, we have note receivables from FreshRealm totaling $34.2 million and $35.2 million. See Note 4 for further information. See Note 18 for further discussion of the reserve for collectability recorded on FreshRealm’s Note receivable.</w:t>
      </w:r>
    </w:p>
    <w:p>
      <w:pPr>
        <w:spacing w:after="0" w:line="176"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80"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Except for the performance guarantee noted above (for which we don’t expect to have a significant impact on operations), our exposure to the obligations of FreshRealm is generally limited to our investment. See Note 4 and Note 18 for more information. Our maximum exposure to loss could increase in the future if FreshRealm receives additional financing (i.e. equity or debt) from Calavo. We are under no obligation to provide FreshRealm additional financing and we currently have no plans to provide any additional financing to FreshRealm.</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227" w:lineRule="exact"/>
        <w:rPr>
          <w:sz w:val="20"/>
          <w:szCs w:val="20"/>
          <w:color w:val="auto"/>
        </w:rPr>
      </w:pPr>
    </w:p>
    <w:p>
      <w:pPr>
        <w:ind w:left="40" w:right="159" w:firstLine="324"/>
        <w:spacing w:after="0" w:line="254" w:lineRule="auto"/>
        <w:rPr>
          <w:sz w:val="20"/>
          <w:szCs w:val="20"/>
          <w:color w:val="auto"/>
        </w:rPr>
      </w:pPr>
      <w:r>
        <w:rPr>
          <w:rFonts w:ascii="Times New Roman" w:cs="Times New Roman" w:eastAsia="Times New Roman" w:hAnsi="Times New Roman"/>
          <w:sz w:val="18"/>
          <w:szCs w:val="18"/>
          <w:color w:val="auto"/>
        </w:rPr>
        <w:t>On May 20, 2020, the SEC issued a final rule regarding the financial statement requirements for acquisitions and dispositions of a business, which included, among other things, amending (1) certain criteria in the significance tests for equity method investees, such as introducing a revenue component when calculating the income test, (ii) related pro forma financial information requirements including its form and content, and (iii) related disclosure requirements, including the number of acquiree financial statement periods required to be presented in SEC filings. The final rule is effective for fiscal years beginning after December 31, 2020, with early application permitted. The Company determined to adopt this SEC final rule as of July 31, 2020, and as a result, the Company’s investment in FreshRealm was no longer considered a significant subsidiary.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The following table shows summarized financial information for FreshRealm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Statement:</w:t>
      </w:r>
    </w:p>
    <w:p>
      <w:pPr>
        <w:spacing w:after="0" w:line="23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7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4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2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Gross loss</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(4,988)</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(17,685)</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(2,293)</w:t>
            </w: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Effective at the beginning of our fiscal 2019, the Company adopted Accounting Standards Update (ASU) No. 2014-09, "Revenue from Contracts with Customers," and all the related amendments ASC 606 using the modified retrospective method of adoption. ASC 606 consists of a comprehensive revenue recognition standard, which requires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recognition of revenue when control of promised goods are transferred to customers in an amount that reflects the consideration to which the entity expects to be entitled.</w:t>
      </w:r>
    </w:p>
    <w:p>
      <w:pPr>
        <w:spacing w:after="0" w:line="162"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Incentives and Other Promotional Programs</w:t>
      </w:r>
    </w:p>
    <w:p>
      <w:pPr>
        <w:spacing w:after="0" w:line="241"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condensed consolidated balance sheets as part of accrued expenses.</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Principal vs. Agent Considerations</w:t>
      </w:r>
    </w:p>
    <w:p>
      <w:pPr>
        <w:spacing w:after="0" w:line="241"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The Company frequently enters into consignment arrangements with avocado and tomato growers and packers located outside of the U.S. and growers of certain perishable products in the U.S. We evaluated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that such revenues should be reported on a gross basis.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ind w:left="40" w:right="179" w:firstLine="225"/>
        <w:spacing w:after="0" w:line="270" w:lineRule="auto"/>
        <w:rPr>
          <w:sz w:val="20"/>
          <w:szCs w:val="20"/>
          <w:color w:val="auto"/>
        </w:rPr>
      </w:pPr>
      <w:r>
        <w:rPr>
          <w:rFonts w:ascii="Times New Roman" w:cs="Times New Roman" w:eastAsia="Times New Roman" w:hAnsi="Times New Roman"/>
          <w:sz w:val="17"/>
          <w:szCs w:val="17"/>
          <w:color w:val="auto"/>
        </w:rPr>
        <w:t>The impact of applying ASC 842 effective as of November 1, 2019, to the Company’s condensed consolidated statements of operations and cash flows was not significant. The major impacts to the balance sheet at the effective date were 1) the addition of $65.7 million in operating lease assets and $69.6 million of operating lease liabilities, 2) the removal of approximately $3.7 million and $1.2 million of deferred rent and other long-term obligations, respectively, and</w:t>
      </w:r>
    </w:p>
    <w:p>
      <w:pPr>
        <w:spacing w:after="0" w:line="3" w:lineRule="exact"/>
        <w:rPr>
          <w:sz w:val="20"/>
          <w:szCs w:val="20"/>
          <w:color w:val="auto"/>
        </w:rPr>
      </w:pPr>
    </w:p>
    <w:p>
      <w:pPr>
        <w:ind w:left="40" w:right="219" w:firstLine="4"/>
        <w:spacing w:after="0" w:line="255" w:lineRule="auto"/>
        <w:tabs>
          <w:tab w:leader="none" w:pos="2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cumulative-effect adjustment for the adoption of ASC 842 of $1.2 million was recorded to retained earnings, which relates to the gain previously recognized in accordance with ASC 840 on its sale and operating leaseback of the Temecula facility.</w:t>
      </w:r>
    </w:p>
    <w:p>
      <w:pPr>
        <w:spacing w:after="0" w:line="186" w:lineRule="exact"/>
        <w:rPr>
          <w:sz w:val="20"/>
          <w:szCs w:val="20"/>
          <w:color w:val="auto"/>
        </w:rPr>
      </w:pPr>
    </w:p>
    <w:p>
      <w:pPr>
        <w:ind w:left="40" w:right="279" w:firstLine="225"/>
        <w:spacing w:after="0" w:line="312" w:lineRule="auto"/>
        <w:rPr>
          <w:sz w:val="20"/>
          <w:szCs w:val="20"/>
          <w:color w:val="auto"/>
        </w:rPr>
      </w:pPr>
      <w:r>
        <w:rPr>
          <w:rFonts w:ascii="Times New Roman" w:cs="Times New Roman" w:eastAsia="Times New Roman" w:hAnsi="Times New Roman"/>
          <w:sz w:val="17"/>
          <w:szCs w:val="17"/>
          <w:color w:val="auto"/>
        </w:rPr>
        <w:t>ASC 842 made changes to sale-leaseback accounting to result in the recognition of the gain on the transaction at the time of the sale instead of recognizing over the leaseback period, when the transaction is deemed to be a sale instead of a</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39"/>
        <w:spacing w:after="0" w:line="282" w:lineRule="auto"/>
        <w:rPr>
          <w:sz w:val="20"/>
          <w:szCs w:val="20"/>
          <w:color w:val="auto"/>
        </w:rPr>
      </w:pPr>
      <w:r>
        <w:rPr>
          <w:rFonts w:ascii="Times New Roman" w:cs="Times New Roman" w:eastAsia="Times New Roman" w:hAnsi="Times New Roman"/>
          <w:sz w:val="18"/>
          <w:szCs w:val="18"/>
          <w:color w:val="auto"/>
        </w:rPr>
        <w:t>financing arrangement. ASC 842 further changes the assessment of sale accounting from a transfer of risk and rewards assessment to a transfer of control assessment.</w:t>
      </w:r>
    </w:p>
    <w:p>
      <w:pPr>
        <w:spacing w:after="0" w:line="162" w:lineRule="exact"/>
        <w:rPr>
          <w:sz w:val="20"/>
          <w:szCs w:val="20"/>
          <w:color w:val="auto"/>
        </w:rPr>
      </w:pPr>
    </w:p>
    <w:p>
      <w:pPr>
        <w:jc w:val="both"/>
        <w:ind w:left="40" w:right="59" w:firstLine="252"/>
        <w:spacing w:after="0" w:line="266" w:lineRule="auto"/>
        <w:rPr>
          <w:sz w:val="20"/>
          <w:szCs w:val="20"/>
          <w:color w:val="auto"/>
        </w:rPr>
      </w:pPr>
      <w:r>
        <w:rPr>
          <w:rFonts w:ascii="Times New Roman" w:cs="Times New Roman" w:eastAsia="Times New Roman" w:hAnsi="Times New Roman"/>
          <w:sz w:val="18"/>
          <w:szCs w:val="18"/>
          <w:color w:val="auto"/>
        </w:rPr>
        <w:t>We utilized the modified retrospective adoption method. Therefore, the Consolidated Financial Statements for 2020 are presented under the new standard, while the comparative periods presented are not adjusted and continue to be reported in accordance with the Company's historical accounting policy.</w:t>
      </w:r>
    </w:p>
    <w:p>
      <w:pPr>
        <w:spacing w:after="0" w:line="176" w:lineRule="exact"/>
        <w:rPr>
          <w:sz w:val="20"/>
          <w:szCs w:val="20"/>
          <w:color w:val="auto"/>
        </w:rPr>
      </w:pPr>
    </w:p>
    <w:p>
      <w:pPr>
        <w:jc w:val="both"/>
        <w:ind w:left="40" w:right="59" w:firstLine="220"/>
        <w:spacing w:after="0" w:line="256" w:lineRule="auto"/>
        <w:rPr>
          <w:sz w:val="20"/>
          <w:szCs w:val="20"/>
          <w:color w:val="auto"/>
        </w:rPr>
      </w:pPr>
      <w:r>
        <w:rPr>
          <w:rFonts w:ascii="Times New Roman" w:cs="Times New Roman" w:eastAsia="Times New Roman" w:hAnsi="Times New Roman"/>
          <w:sz w:val="18"/>
          <w:szCs w:val="18"/>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87" w:lineRule="exact"/>
        <w:rPr>
          <w:sz w:val="20"/>
          <w:szCs w:val="20"/>
          <w:color w:val="auto"/>
        </w:rPr>
      </w:pPr>
    </w:p>
    <w:p>
      <w:pPr>
        <w:ind w:left="40" w:right="199" w:firstLine="225"/>
        <w:spacing w:after="0" w:line="261" w:lineRule="auto"/>
        <w:rPr>
          <w:sz w:val="20"/>
          <w:szCs w:val="20"/>
          <w:color w:val="auto"/>
        </w:rPr>
      </w:pPr>
      <w:r>
        <w:rPr>
          <w:rFonts w:ascii="Times New Roman" w:cs="Times New Roman" w:eastAsia="Times New Roman" w:hAnsi="Times New Roman"/>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80" w:lineRule="exact"/>
        <w:rPr>
          <w:sz w:val="20"/>
          <w:szCs w:val="20"/>
          <w:color w:val="auto"/>
        </w:rPr>
      </w:pPr>
    </w:p>
    <w:p>
      <w:pPr>
        <w:ind w:left="40" w:right="319" w:firstLine="225"/>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We estimated our incremental borrowing rate based upon</w:t>
      </w:r>
    </w:p>
    <w:p>
      <w:pPr>
        <w:spacing w:after="0" w:line="3" w:lineRule="exact"/>
        <w:rPr>
          <w:sz w:val="20"/>
          <w:szCs w:val="20"/>
          <w:color w:val="auto"/>
        </w:rPr>
      </w:pPr>
    </w:p>
    <w:p>
      <w:pPr>
        <w:ind w:left="40" w:right="299"/>
        <w:spacing w:after="0" w:line="260" w:lineRule="auto"/>
        <w:rPr>
          <w:sz w:val="20"/>
          <w:szCs w:val="20"/>
          <w:color w:val="auto"/>
        </w:rPr>
      </w:pPr>
      <w:r>
        <w:rPr>
          <w:rFonts w:ascii="Times New Roman" w:cs="Times New Roman" w:eastAsia="Times New Roman" w:hAnsi="Times New Roman"/>
          <w:sz w:val="18"/>
          <w:szCs w:val="18"/>
          <w:color w:val="auto"/>
        </w:rPr>
        <w:t>a synthetic credit rating and yield curve analysis. As a result, the incremental borrowing rate is estimated to approximate the interest rate on a collateralized basis with similar terms and payments.</w:t>
      </w:r>
    </w:p>
    <w:p>
      <w:pPr>
        <w:spacing w:after="0" w:line="181" w:lineRule="exact"/>
        <w:rPr>
          <w:sz w:val="20"/>
          <w:szCs w:val="20"/>
          <w:color w:val="auto"/>
        </w:rPr>
      </w:pPr>
    </w:p>
    <w:p>
      <w:pPr>
        <w:ind w:left="40" w:right="59" w:firstLine="180"/>
        <w:spacing w:after="0" w:line="261" w:lineRule="auto"/>
        <w:rPr>
          <w:sz w:val="20"/>
          <w:szCs w:val="20"/>
          <w:color w:val="auto"/>
        </w:rPr>
      </w:pPr>
      <w:r>
        <w:rPr>
          <w:rFonts w:ascii="Times New Roman" w:cs="Times New Roman" w:eastAsia="Times New Roman" w:hAnsi="Times New Roman"/>
          <w:sz w:val="18"/>
          <w:szCs w:val="18"/>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Position</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balance sheet as of July 31, 2020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5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 assets</w:t>
            </w:r>
          </w:p>
        </w:tc>
        <w:tc>
          <w:tcPr>
            <w:tcW w:w="50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5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5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portion of long-term debt and finance leases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5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59,899</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50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Long-term debt and finance leases, less current portion</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48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 years</w:t>
            </w:r>
          </w:p>
        </w:tc>
      </w:tr>
      <w:tr>
        <w:trPr>
          <w:trHeight w:val="216"/>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 years</w:t>
            </w:r>
          </w:p>
        </w:tc>
      </w:tr>
      <w:tr>
        <w:trPr>
          <w:trHeight w:val="216"/>
        </w:trPr>
        <w:tc>
          <w:tcPr>
            <w:tcW w:w="46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8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16"/>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29"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related to the lease costs for finance and operating leases for the three and nine months ended July 31, 2020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financing lease assets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financing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leases for the three and nine months ended July 31, 2020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paid for amounts included in the measurement of lease liabilities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40" w:type="dxa"/>
            <w:vAlign w:val="bottom"/>
          </w:tcPr>
          <w:p>
            <w:pPr>
              <w:spacing w:after="0"/>
              <w:rPr>
                <w:sz w:val="15"/>
                <w:szCs w:val="15"/>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The total right-of-use assets obtained in exchange for new operating leases for the nine months ended July 31, 2020 was $1.1 million.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Undiscounted Cash Flows</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total remaining years to the finance lease liabilities and operating lease liabilities recorded on the balance sheet as of July 31, 2020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352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10"/>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1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r>
      <w:tr>
        <w:trPr>
          <w:trHeight w:val="20"/>
        </w:trPr>
        <w:tc>
          <w:tcPr>
            <w:tcW w:w="3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Prior to the adoption of ASC 842, as of October 31, 2019, we were committed to make minimum cash payments under these agreements,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140" w:type="dxa"/>
            <w:vAlign w:val="bottom"/>
            <w:tcBorders>
              <w:bottom w:val="single" w:sz="8" w:color="CCEEFF"/>
            </w:tcBorders>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rent expense amounted to approximately $7.8 million for the nine months ended July 31, 2019.</w:t>
      </w:r>
    </w:p>
    <w:p>
      <w:pPr>
        <w:spacing w:after="0" w:line="225" w:lineRule="exact"/>
        <w:rPr>
          <w:sz w:val="20"/>
          <w:szCs w:val="20"/>
          <w:color w:val="auto"/>
        </w:rPr>
      </w:pPr>
    </w:p>
    <w:p>
      <w:pPr>
        <w:ind w:left="40" w:right="839" w:firstLine="259"/>
        <w:spacing w:after="0" w:line="282" w:lineRule="auto"/>
        <w:rPr>
          <w:sz w:val="20"/>
          <w:szCs w:val="20"/>
          <w:color w:val="auto"/>
        </w:rPr>
      </w:pPr>
      <w:r>
        <w:rPr>
          <w:rFonts w:ascii="Times New Roman" w:cs="Times New Roman" w:eastAsia="Times New Roman" w:hAnsi="Times New Roman"/>
          <w:sz w:val="18"/>
          <w:szCs w:val="18"/>
          <w:color w:val="auto"/>
        </w:rPr>
        <w:t>Prior to the adoption of ASC 842, as of October 31, 2019, capital lease payments are scheduled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October 31:</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Minimum lease payments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4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4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Present value of future minimum lease payments as of October 31, 2019 consist of $5.4 million included in long-term obligations and finance leases and $0.8 million included in current portion of long-term obligations and finance leases.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Acquisition of Simply Fresh Fruit</w:t>
      </w:r>
    </w:p>
    <w:p>
      <w:pPr>
        <w:spacing w:after="0" w:line="229" w:lineRule="exact"/>
        <w:rPr>
          <w:sz w:val="20"/>
          <w:szCs w:val="20"/>
          <w:color w:val="auto"/>
        </w:rPr>
      </w:pPr>
    </w:p>
    <w:p>
      <w:pPr>
        <w:ind w:left="40" w:right="99" w:firstLine="225"/>
        <w:spacing w:after="0" w:line="256" w:lineRule="auto"/>
        <w:rPr>
          <w:sz w:val="20"/>
          <w:szCs w:val="20"/>
          <w:color w:val="auto"/>
        </w:rPr>
      </w:pPr>
      <w:r>
        <w:rPr>
          <w:rFonts w:ascii="Times New Roman" w:cs="Times New Roman" w:eastAsia="Times New Roman" w:hAnsi="Times New Roman"/>
          <w:sz w:val="18"/>
          <w:szCs w:val="18"/>
          <w:color w:val="auto"/>
        </w:rPr>
        <w:t>On January 21, 2020, we announced that our Renaissance Food Group (RFG) subsidiary had signed a definitive agreement to acquire SFFI Company, Inc. doing business as Simply Fresh Fruit (SFFI). In February 2020, we completed our acquisition of SFFI. We paid $18.4 million in cash for 100% of SFFI (net of cash acquired). Founded in 1999 and based in Vernon, Calif., privately held SFFI is a processor and supplier of a broad line of fresh-cut fruit, principally serving the foodservice and hospitality markets. Its focus in those industries is anticipated to be highly complementary to the retail-grocery expertise of Calavo’s RFG business segment and will be included in the RFG segment going forward.</w:t>
      </w:r>
    </w:p>
    <w:p>
      <w:pPr>
        <w:spacing w:after="0" w:line="187" w:lineRule="exact"/>
        <w:rPr>
          <w:sz w:val="20"/>
          <w:szCs w:val="20"/>
          <w:color w:val="auto"/>
        </w:rPr>
      </w:pPr>
    </w:p>
    <w:p>
      <w:pPr>
        <w:ind w:left="40" w:right="199" w:firstLine="225"/>
        <w:spacing w:after="0" w:line="257"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The preliminary allocation of the purchase price is based on management’s analysis, including preliminary work performed by third party valuation specialists as of the acquisition date. We have determined the estimated fair values using Level</w:t>
      </w:r>
    </w:p>
    <w:p>
      <w:pPr>
        <w:spacing w:after="0" w:line="1"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3 inputs after review and consideration of relevant information, including the projected cash flows, discount rates, customer attrition rates and other estimates made by management. The purchase price exceeded the estimated fair value of the net identifiable tangible and intangible assets acquired, and the excess was recognized as goodwill. We are in the process of completing the purchase price allocation and expect to have it finalized within the 12-month measurement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firstLine="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fair values of the assets acquired and liabilities assumed at the date of acquisition (in thousands):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9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Previously Reported</w:t>
            </w: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of $623)</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7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r>
      <w:tr>
        <w:trPr>
          <w:trHeight w:val="210"/>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7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w:t>
            </w:r>
          </w:p>
        </w:tc>
      </w:tr>
      <w:tr>
        <w:trPr>
          <w:trHeight w:val="209"/>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w:t>
            </w:r>
          </w:p>
        </w:tc>
      </w:tr>
      <w:tr>
        <w:trPr>
          <w:trHeight w:val="20"/>
        </w:trPr>
        <w:tc>
          <w:tcPr>
            <w:tcW w:w="3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0" w:right="159" w:firstLine="180"/>
        <w:spacing w:after="0" w:line="261" w:lineRule="auto"/>
        <w:rPr>
          <w:sz w:val="20"/>
          <w:szCs w:val="20"/>
          <w:color w:val="auto"/>
        </w:rPr>
      </w:pPr>
      <w:r>
        <w:rPr>
          <w:rFonts w:ascii="Times New Roman" w:cs="Times New Roman" w:eastAsia="Times New Roman" w:hAnsi="Times New Roman"/>
          <w:sz w:val="18"/>
          <w:szCs w:val="18"/>
          <w:color w:val="auto"/>
        </w:rPr>
        <w:t>Of the $11.0 million of intangible assets, $9.7 million was assigned to customer relationships with a life of 7 years, and $1.3 million to trade names with a life of 10 years. We incurred $0.3 million in transaction costs related to the acquisition, which is included in selling, general and administrative expenses in our consolidated statements of operations for the three months ended July 31, 2020.</w:t>
      </w:r>
    </w:p>
    <w:p>
      <w:pPr>
        <w:spacing w:after="0" w:line="180" w:lineRule="exact"/>
        <w:rPr>
          <w:sz w:val="20"/>
          <w:szCs w:val="20"/>
          <w:color w:val="auto"/>
        </w:rPr>
      </w:pPr>
    </w:p>
    <w:p>
      <w:pPr>
        <w:ind w:left="40" w:right="99" w:firstLine="180"/>
        <w:spacing w:after="0" w:line="258" w:lineRule="auto"/>
        <w:rPr>
          <w:sz w:val="20"/>
          <w:szCs w:val="20"/>
          <w:color w:val="auto"/>
        </w:rPr>
      </w:pPr>
      <w:r>
        <w:rPr>
          <w:rFonts w:ascii="Times New Roman" w:cs="Times New Roman" w:eastAsia="Times New Roman" w:hAnsi="Times New Roman"/>
          <w:sz w:val="18"/>
          <w:szCs w:val="18"/>
          <w:color w:val="auto"/>
        </w:rPr>
        <w:t>Adjustments after the initial close of the acquisition of SFFI is primarily related to the application of ASC 842 (See Note 14 for further detail on accounting for leases). Upon further insight of the leases held by SFFI, we recorded $0.8 million related to finance leases in property, plant and equipment, $0.1 million in operating lease right-of-use assets and the related lease liability of $0.9 million. In addition, we recorded $0.4 million of additional goodwill for payments made after the close date.</w:t>
      </w:r>
    </w:p>
    <w:p>
      <w:pPr>
        <w:spacing w:after="0" w:line="183" w:lineRule="exact"/>
        <w:rPr>
          <w:sz w:val="20"/>
          <w:szCs w:val="20"/>
          <w:color w:val="auto"/>
        </w:rPr>
      </w:pPr>
    </w:p>
    <w:p>
      <w:pPr>
        <w:ind w:left="40" w:right="299" w:firstLine="225"/>
        <w:spacing w:after="0" w:line="312" w:lineRule="auto"/>
        <w:rPr>
          <w:sz w:val="20"/>
          <w:szCs w:val="20"/>
          <w:color w:val="auto"/>
        </w:rPr>
      </w:pPr>
      <w:r>
        <w:rPr>
          <w:rFonts w:ascii="Times New Roman" w:cs="Times New Roman" w:eastAsia="Times New Roman" w:hAnsi="Times New Roman"/>
          <w:sz w:val="17"/>
          <w:szCs w:val="17"/>
          <w:color w:val="auto"/>
        </w:rPr>
        <w:t>The financial effect of this acquisition was not material to our statement of operations, and we have not presented pro forma results of operations for the acquisition because it is not significant to our consolidated statements of operations.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16. Credit Facility</w:t>
      </w:r>
    </w:p>
    <w:p>
      <w:pPr>
        <w:spacing w:after="0" w:line="229"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1.9% and 3.8% at July 31, 2020 and October 31, 2019. Under these credit facilities, we had $24.6 million outstanding as July 31, 2020. There was nothing outstanding as of October 31, 2019.</w:t>
      </w:r>
    </w:p>
    <w:p>
      <w:pPr>
        <w:spacing w:after="0" w:line="189"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We expect to refinance our line of credit before June of 2021. We believe that cash flows from operations, the available Credit Facility, and other sources will be sufficient to satisfy our future capital expenditures, grower recruitment efforts, working capital and other financing requirements for at least the next twelve months.</w:t>
      </w:r>
    </w:p>
    <w:p>
      <w:pPr>
        <w:spacing w:after="0" w:line="176" w:lineRule="exact"/>
        <w:rPr>
          <w:sz w:val="20"/>
          <w:szCs w:val="20"/>
          <w:color w:val="auto"/>
        </w:rPr>
      </w:pPr>
    </w:p>
    <w:p>
      <w:pPr>
        <w:ind w:left="40" w:right="79" w:firstLine="225"/>
        <w:spacing w:after="0" w:line="261" w:lineRule="auto"/>
        <w:rPr>
          <w:sz w:val="20"/>
          <w:szCs w:val="20"/>
          <w:color w:val="auto"/>
        </w:rPr>
      </w:pPr>
      <w:r>
        <w:rPr>
          <w:rFonts w:ascii="Times New Roman" w:cs="Times New Roman" w:eastAsia="Times New Roman" w:hAnsi="Times New Roman"/>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financial covenants.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17. COVID-19 Pandemic Impact</w:t>
      </w:r>
    </w:p>
    <w:p>
      <w:pPr>
        <w:spacing w:after="0" w:line="229" w:lineRule="exact"/>
        <w:rPr>
          <w:sz w:val="20"/>
          <w:szCs w:val="20"/>
          <w:color w:val="auto"/>
        </w:rPr>
      </w:pPr>
    </w:p>
    <w:p>
      <w:pPr>
        <w:ind w:left="40" w:right="79" w:firstLine="180"/>
        <w:spacing w:after="0" w:line="261"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0" w:lineRule="exact"/>
        <w:rPr>
          <w:sz w:val="20"/>
          <w:szCs w:val="20"/>
          <w:color w:val="auto"/>
        </w:rPr>
      </w:pPr>
    </w:p>
    <w:p>
      <w:pPr>
        <w:ind w:left="40" w:right="79" w:firstLine="180"/>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 positioned for the future as we continue to navigate the crisis and prepare for an eventual return to a more normal operating environment. We have successfully implemented contingency plans overseen by our management teams in the U.S. and in Mexico to monitor the evolving needs of our businesses in those countries, as well as those related to our Peru partner in consignment avocado sales.</w:t>
      </w:r>
    </w:p>
    <w:p>
      <w:pPr>
        <w:spacing w:after="0" w:line="189"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The COVID-19 pandemic began to have an adverse impact on our results of operations in the month of March,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were more pronounced in the portions of our business servicing foodservice customers business and to a lesser extent certain segments of our retail business, including behind-the-glass deli and grab-and-go convenience items. While we have managed the pandemic well, with improving results in April and minimal disruption to our overall business thus far, the continuing impact of the pandemic on our future consolidated results, financial position and cash flows are uncertain.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Reserve for FreshRealm Note Receivable and Impairment of Investment</w:t>
      </w:r>
    </w:p>
    <w:p>
      <w:pPr>
        <w:spacing w:after="0" w:line="229"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During the third quarter of fiscal 2020, the results of operations of FreshRealm have deteriorated significantly from our expectations three months ago, with declining sales and continuing losses.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In accordance with the foregoing, we have recorded an impairment of 100% of our equity investment of $2.8 million, and we have recorded a reserve for collectability of 100% of our note receivable balance of $34.2 million (which includes accrued interest of $4.1 million), and $0.2 million in trade accounts receivable as of July 31, 2020, which resulted in a loss of $37.2 million, which is included in the accompanying consolidated condensed statement of operations under “Loss on reserve for FreshRealm note receivable and impairment of investment”. In connection with the foregoing, we recorded a $9.3 million discreet income tax benefit for the third quarter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2019 of Calavo Growers, Inc. (we, Calavo, or the Company).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COVID-19 Pandemic Impact</w:t>
      </w:r>
    </w:p>
    <w:p>
      <w:pPr>
        <w:spacing w:after="0" w:line="227" w:lineRule="exact"/>
        <w:rPr>
          <w:sz w:val="20"/>
          <w:szCs w:val="20"/>
          <w:color w:val="auto"/>
        </w:rPr>
      </w:pPr>
    </w:p>
    <w:p>
      <w:pPr>
        <w:ind w:left="40" w:right="59" w:firstLine="225"/>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 positioned for the future as we continue to navigate the crisis and prepare for an eventual return to a more normal operating environment. We have successfully implemented contingency plans overseen by our management teams in the U.S. and in Mexico to monitor the evolving needs of our businesses in those countries, as well as those related to our Peru partner in consignment avocado sales.</w:t>
      </w:r>
    </w:p>
    <w:p>
      <w:pPr>
        <w:spacing w:after="0" w:line="189"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The COVID-19 pandemic began to have an adverse impact on our results of operations in the month of March,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were more pronounced in the portions of our business servicing foodservice customers business and to a lesser extent certain segments of our retail business, including behind-the-glass deli and grab-and-go convenience items. While we have managed the pandemic well, with improving results beginning in April and minimal disruption to our overall business thus far, the continuing impact of the pandemic on our future consolidated results of operations is uncertain.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Organizational changes</w:t>
      </w:r>
    </w:p>
    <w:p>
      <w:pPr>
        <w:spacing w:after="0" w:line="227" w:lineRule="exact"/>
        <w:rPr>
          <w:sz w:val="20"/>
          <w:szCs w:val="20"/>
          <w:color w:val="auto"/>
        </w:rPr>
      </w:pPr>
    </w:p>
    <w:p>
      <w:pPr>
        <w:jc w:val="both"/>
        <w:ind w:left="40" w:right="139" w:firstLine="135"/>
        <w:spacing w:after="0" w:line="266" w:lineRule="auto"/>
        <w:rPr>
          <w:sz w:val="20"/>
          <w:szCs w:val="20"/>
          <w:color w:val="auto"/>
        </w:rPr>
      </w:pPr>
      <w:r>
        <w:rPr>
          <w:rFonts w:ascii="Times New Roman" w:cs="Times New Roman" w:eastAsia="Times New Roman" w:hAnsi="Times New Roman"/>
          <w:sz w:val="18"/>
          <w:szCs w:val="18"/>
          <w:color w:val="auto"/>
        </w:rPr>
        <w:t>On February 1, 2020, James Gibson became Chief Executive Officer, succeeding Lecil Cole, who retired on January 31, 2020. Mr. Gibson has served as President of Calavo’s RFG division since October 26, 2017 and previously served as Chief Operating Officer and a founding member of RFG since 2003.</w:t>
      </w:r>
    </w:p>
    <w:p>
      <w:pPr>
        <w:spacing w:after="0" w:line="176" w:lineRule="exact"/>
        <w:rPr>
          <w:sz w:val="20"/>
          <w:szCs w:val="20"/>
          <w:color w:val="auto"/>
        </w:rPr>
      </w:pPr>
    </w:p>
    <w:p>
      <w:pPr>
        <w:ind w:left="40" w:right="579" w:firstLine="180"/>
        <w:spacing w:after="0" w:line="282" w:lineRule="auto"/>
        <w:rPr>
          <w:sz w:val="20"/>
          <w:szCs w:val="20"/>
          <w:color w:val="auto"/>
        </w:rPr>
      </w:pPr>
      <w:r>
        <w:rPr>
          <w:rFonts w:ascii="Times New Roman" w:cs="Times New Roman" w:eastAsia="Times New Roman" w:hAnsi="Times New Roman"/>
          <w:sz w:val="18"/>
          <w:szCs w:val="18"/>
          <w:color w:val="auto"/>
        </w:rPr>
        <w:t xml:space="preserve">On February 26, 2020, Lecil Cole retired as Chairman </w:t>
      </w:r>
      <w:r>
        <w:rPr>
          <w:rFonts w:ascii="Times New Roman" w:cs="Times New Roman" w:eastAsia="Times New Roman" w:hAnsi="Times New Roman"/>
          <w:sz w:val="18"/>
          <w:szCs w:val="18"/>
          <w:color w:val="212529"/>
        </w:rPr>
        <w:t>of the Board of Directors, although he remains a director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Calavo. On February 27, 2020, Mr. Link Leavens was appointed Chairman of the Board of Directors.</w:t>
      </w:r>
    </w:p>
    <w:p>
      <w:pPr>
        <w:spacing w:after="0" w:line="162" w:lineRule="exact"/>
        <w:rPr>
          <w:sz w:val="20"/>
          <w:szCs w:val="20"/>
          <w:color w:val="auto"/>
        </w:rPr>
      </w:pPr>
    </w:p>
    <w:p>
      <w:pPr>
        <w:ind w:left="40" w:right="279" w:firstLine="135"/>
        <w:spacing w:after="0" w:line="266" w:lineRule="auto"/>
        <w:rPr>
          <w:sz w:val="20"/>
          <w:szCs w:val="20"/>
          <w:color w:val="auto"/>
        </w:rPr>
      </w:pPr>
      <w:r>
        <w:rPr>
          <w:rFonts w:ascii="Times New Roman" w:cs="Times New Roman" w:eastAsia="Times New Roman" w:hAnsi="Times New Roman"/>
          <w:sz w:val="18"/>
          <w:szCs w:val="18"/>
          <w:color w:val="auto"/>
        </w:rPr>
        <w:t>On March 10, 2020, Joel Silva was promoted to Corporate Controller and Chief Accounting Officer, succeeding James Snyder, who resigned on March 6, 2020, to join a company in the financial services sector. Previously Mr. Silva was Division Controller for our Fresh and Foods divisions.</w:t>
      </w:r>
    </w:p>
    <w:p>
      <w:pPr>
        <w:spacing w:after="0" w:line="176" w:lineRule="exact"/>
        <w:rPr>
          <w:sz w:val="20"/>
          <w:szCs w:val="20"/>
          <w:color w:val="auto"/>
        </w:rPr>
      </w:pPr>
    </w:p>
    <w:p>
      <w:pPr>
        <w:ind w:left="40" w:right="299" w:firstLine="135"/>
        <w:spacing w:after="0" w:line="266" w:lineRule="auto"/>
        <w:rPr>
          <w:sz w:val="20"/>
          <w:szCs w:val="20"/>
          <w:color w:val="auto"/>
        </w:rPr>
      </w:pPr>
      <w:r>
        <w:rPr>
          <w:rFonts w:ascii="Times New Roman" w:cs="Times New Roman" w:eastAsia="Times New Roman" w:hAnsi="Times New Roman"/>
          <w:sz w:val="18"/>
          <w:szCs w:val="18"/>
          <w:color w:val="auto"/>
        </w:rPr>
        <w:t>On May 11, 2020, Kevin Manion became Chief Financial Officer, succeeding John Lindeman, who resigned on March 11, 2020. Mr. Manion held financial leadership positions with companies including Century Snacks, Young’s Market Company, Bolthouse Farms, Hostess Brands, Nestle USA and Kraft General Foods.</w:t>
      </w:r>
    </w:p>
    <w:p>
      <w:pPr>
        <w:spacing w:after="0" w:line="176" w:lineRule="exact"/>
        <w:rPr>
          <w:sz w:val="20"/>
          <w:szCs w:val="20"/>
          <w:color w:val="auto"/>
        </w:rPr>
      </w:pPr>
    </w:p>
    <w:p>
      <w:pPr>
        <w:ind w:left="40" w:right="59" w:firstLine="180"/>
        <w:spacing w:after="0" w:line="258" w:lineRule="auto"/>
        <w:rPr>
          <w:sz w:val="20"/>
          <w:szCs w:val="20"/>
          <w:color w:val="auto"/>
        </w:rPr>
      </w:pPr>
      <w:r>
        <w:rPr>
          <w:rFonts w:ascii="Times New Roman" w:cs="Times New Roman" w:eastAsia="Times New Roman" w:hAnsi="Times New Roman"/>
          <w:sz w:val="18"/>
          <w:szCs w:val="18"/>
          <w:color w:val="auto"/>
        </w:rPr>
        <w:t>On August 10, 2020, Mark Lodge became Chief Operations Officer. Mr. Lodge has served as Executive Vice President of RFG Business Operations. Prior to joining Calavo, Mr. Lodge held the role of Executive Vice President for Revolution Foods supplying all-natural school meals across the United States. Prior to Revolution Foods, Mr. Lodge was President of True Fresh HPP and True Food Innovations and was previously instrumental in the identification and implementation of the Fresh &amp; Easy manufacturing business in the United States for Tesco, plc.</w:t>
      </w:r>
    </w:p>
    <w:p>
      <w:pPr>
        <w:spacing w:after="0" w:line="183" w:lineRule="exact"/>
        <w:rPr>
          <w:sz w:val="20"/>
          <w:szCs w:val="20"/>
          <w:color w:val="auto"/>
        </w:rPr>
      </w:pPr>
    </w:p>
    <w:p>
      <w:pPr>
        <w:ind w:left="40" w:right="359" w:firstLine="180"/>
        <w:spacing w:after="0" w:line="312" w:lineRule="auto"/>
        <w:rPr>
          <w:sz w:val="20"/>
          <w:szCs w:val="20"/>
          <w:color w:val="auto"/>
        </w:rPr>
      </w:pPr>
      <w:r>
        <w:rPr>
          <w:rFonts w:ascii="Times New Roman" w:cs="Times New Roman" w:eastAsia="Times New Roman" w:hAnsi="Times New Roman"/>
          <w:sz w:val="17"/>
          <w:szCs w:val="17"/>
          <w:color w:val="auto"/>
        </w:rPr>
        <w:t>On August 10, 2020, Calavo promoted Robert Wedin to the position of Executive Vice President of Fresh Sales. Mr. Wedin has served as our Vice President, Sales and Fresh Marketing since 1993. Mr. Wedin joined Calavo in 1973 at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79"/>
        <w:spacing w:after="0" w:line="266" w:lineRule="auto"/>
        <w:rPr>
          <w:sz w:val="20"/>
          <w:szCs w:val="20"/>
          <w:color w:val="auto"/>
        </w:rPr>
      </w:pPr>
      <w:r>
        <w:rPr>
          <w:rFonts w:ascii="Times New Roman" w:cs="Times New Roman" w:eastAsia="Times New Roman" w:hAnsi="Times New Roman"/>
          <w:sz w:val="18"/>
          <w:szCs w:val="18"/>
          <w:color w:val="auto"/>
        </w:rPr>
        <w:t>then Santa Barbara packinghouse. Beginning in 1990, Mr. Wedin served as a director of the California Avocado Commission for a period of ten years. Mr. Wedin currently is a board member of Producesupply.org and serves as a member of that organization's executive committee.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On December 6, 2019, we paid a $1.10 per share dividend in the aggregate amount of $19.4 million to shareholders of record on November 15, 2019.</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92"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As a result, in April 2019, the MFM issued a final tax assessment to CDM (the “2011 Assessment”) totaling approximately $2.2 billion Mexican pesos (approx. $98.9 million USD at July 31, 2020)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7"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89" w:lineRule="exact"/>
        <w:rPr>
          <w:sz w:val="20"/>
          <w:szCs w:val="20"/>
          <w:color w:val="auto"/>
        </w:rPr>
      </w:pPr>
    </w:p>
    <w:p>
      <w:pPr>
        <w:ind w:left="40" w:right="179" w:firstLine="259"/>
        <w:spacing w:after="0" w:line="266"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(approx. $118.2 million USD at July 31, 2020) related to Income Tax, Flat Rate Business Tax, and Value Added Tax, related to this fiscal 2013 tax audit. Additionally, the tax</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282" w:lineRule="auto"/>
        <w:rPr>
          <w:sz w:val="20"/>
          <w:szCs w:val="20"/>
          <w:color w:val="auto"/>
        </w:rPr>
      </w:pPr>
      <w:r>
        <w:rPr>
          <w:rFonts w:ascii="Times New Roman" w:cs="Times New Roman" w:eastAsia="Times New Roman" w:hAnsi="Times New Roman"/>
          <w:sz w:val="18"/>
          <w:szCs w:val="18"/>
          <w:color w:val="auto"/>
        </w:rPr>
        <w:t>authorities have determined that we owe an employee’s profit-sharing liability, totaling approximately $118 million Mexican pesos (approx. $5.4 million USD at July 31, 2020).</w:t>
      </w:r>
    </w:p>
    <w:p>
      <w:pPr>
        <w:spacing w:after="0" w:line="162"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92" w:lineRule="exact"/>
        <w:rPr>
          <w:sz w:val="20"/>
          <w:szCs w:val="20"/>
          <w:color w:val="auto"/>
        </w:rPr>
      </w:pPr>
    </w:p>
    <w:p>
      <w:pPr>
        <w:ind w:left="40" w:right="819" w:firstLine="259"/>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nine months ended July 31, 2020 and 2019:</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2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 w:type="dxa"/>
            <w:vAlign w:val="bottom"/>
          </w:tcPr>
          <w:p>
            <w:pPr>
              <w:spacing w:after="0"/>
              <w:rPr>
                <w:sz w:val="15"/>
                <w:szCs w:val="15"/>
                <w:color w:val="auto"/>
              </w:rPr>
            </w:pPr>
          </w:p>
        </w:tc>
        <w:tc>
          <w:tcPr>
            <w:tcW w:w="276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$ 162,139</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$ 207,730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$ 466,197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$ 476,586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90,923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305,386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360,564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4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$ 270,425</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$ 359,332</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$ 824,941</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$ 903,601</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59.6 %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57.5 %</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56.2 %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16"/>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7.0 %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7.1 %</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6.9 %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16"/>
        </w:trPr>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33.4 %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35.3 %</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36.8 %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10"/>
        </w:trPr>
        <w:tc>
          <w:tcPr>
            <w:tcW w:w="3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79" w:firstLine="259"/>
        <w:spacing w:after="0" w:line="281" w:lineRule="auto"/>
        <w:rPr>
          <w:sz w:val="20"/>
          <w:szCs w:val="20"/>
          <w:color w:val="auto"/>
        </w:rPr>
      </w:pPr>
      <w:r>
        <w:rPr>
          <w:rFonts w:ascii="Times New Roman" w:cs="Times New Roman" w:eastAsia="Times New Roman" w:hAnsi="Times New Roman"/>
          <w:sz w:val="17"/>
          <w:szCs w:val="17"/>
          <w:color w:val="auto"/>
        </w:rPr>
        <w:t>Net sales for the three months ended July 31, 2020, compared to the corresponding period in fiscal 2019, decreased by $88.9 million, or approximately 25%. Net sales for the nine months ended July 31, 2020, compared to the corresponding period in fiscal 2019, decreased by $78.7 million, or approximately 9%. The decrease in sales for the three and nine months ended July 31, 2020, when compared to the same corresponding prior year period, was due to declines across all segments.</w:t>
      </w:r>
    </w:p>
    <w:p>
      <w:pPr>
        <w:spacing w:after="0" w:line="164" w:lineRule="exact"/>
        <w:rPr>
          <w:sz w:val="20"/>
          <w:szCs w:val="20"/>
          <w:color w:val="auto"/>
        </w:rPr>
      </w:pPr>
    </w:p>
    <w:p>
      <w:pPr>
        <w:ind w:left="40" w:right="439" w:firstLine="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July 31, 2020, the decrease in RFG sales was due primarily to decreased sales from fresh-cut fruit &amp; vegetables and prepared foods products. The decrease in Calavo Foods was due primarily to a decrease in the sales of prepared avocado products. See discussion below for further details. The decrease in Fresh products sales was due primarily to a decrease in sales of avocados.</w:t>
      </w:r>
    </w:p>
    <w:p>
      <w:pPr>
        <w:spacing w:after="0" w:line="180" w:lineRule="exact"/>
        <w:rPr>
          <w:sz w:val="20"/>
          <w:szCs w:val="20"/>
          <w:color w:val="auto"/>
        </w:rPr>
      </w:pPr>
    </w:p>
    <w:p>
      <w:pPr>
        <w:jc w:val="center"/>
        <w:ind w:left="20" w:right="79"/>
        <w:spacing w:after="0" w:line="282" w:lineRule="auto"/>
        <w:rPr>
          <w:sz w:val="20"/>
          <w:szCs w:val="20"/>
          <w:color w:val="auto"/>
        </w:rPr>
      </w:pPr>
      <w:r>
        <w:rPr>
          <w:rFonts w:ascii="Times New Roman" w:cs="Times New Roman" w:eastAsia="Times New Roman" w:hAnsi="Times New Roman"/>
          <w:sz w:val="18"/>
          <w:szCs w:val="18"/>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2020 vs. Third Quarter 2019</w:t>
      </w:r>
    </w:p>
    <w:p>
      <w:pPr>
        <w:spacing w:after="0" w:line="225"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Sales for the Fresh products business decreased by approximately $45.6 million, or 22%, for the third quarter of fiscal 2020, when compared to the same period for fiscal 2019. This decrease in Fresh product sales during the third quarter of fiscal 2020, was primarily related to decreased sales prices due to higher volumes of avocados, partially offset by an increase in sales of tomatoes.</w:t>
      </w:r>
    </w:p>
    <w:p>
      <w:pPr>
        <w:spacing w:after="0" w:line="18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decreased $49.8 million, or 25%, for the third quarter of 2020, when compared to the same prior year period. The average avocado sales price per carton decreased 37% compared to the same prior year period. This decrease in the sales price per carton is mainly due to an increase of volume of avocados in the marketplace. The volume of avocados sold increased 18% during the period.</w:t>
      </w:r>
    </w:p>
    <w:p>
      <w:pPr>
        <w:spacing w:after="0" w:line="180"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$5.1 million, or 59%, for the third quarter of 2020, when compared to the same prior year period. This increase in tomato sales was primarily due to a 36% increase in the average sales price per carton compared to the same prior year period, in addition to an increase of 17% of the number of tomato cartons sold.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2020 vs. Nine Months Ended 2019</w:t>
      </w:r>
    </w:p>
    <w:p>
      <w:pPr>
        <w:spacing w:after="0" w:line="225"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Sales for the Fresh products business decreased by approximately $10.4 million, or 2%, for the nine months ended July 31, 2020, when compared to the same period for fiscal 2019. This decrease in Fresh product sales during the third quarter of fiscal 2020, was primarily related to decreased sales prices due to higher volumes of avocados, partially offset by an increase in sales of tomatoes.</w:t>
      </w:r>
    </w:p>
    <w:p>
      <w:pPr>
        <w:spacing w:after="0" w:line="180"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decreased $21.1 million, or 5%, for the nine months ended July 31, 2020, when compared to the same prior year period. The average avocado sales price per carton decreased 13% compared to the same prior year period. Partially offsetting this decrease, the volume of avocados sold during the nine months ended July 31, 2020 increased 9% compared to the prior year period.</w:t>
      </w:r>
    </w:p>
    <w:p>
      <w:pPr>
        <w:spacing w:after="0" w:line="180"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$11.5 million, or 33%, for the nine months ended July 31, 2020, when compared to the same prior year period. This increase in tomato sales was primarily due to a 33% increase in the average sales price per carton compared to the same prior year period.</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2020 vs. Third Quarter 2019</w:t>
      </w:r>
    </w:p>
    <w:p>
      <w:pPr>
        <w:spacing w:after="0" w:line="225" w:lineRule="exact"/>
        <w:rPr>
          <w:sz w:val="20"/>
          <w:szCs w:val="20"/>
          <w:color w:val="auto"/>
        </w:rPr>
      </w:pPr>
    </w:p>
    <w:p>
      <w:pPr>
        <w:ind w:left="40" w:right="379" w:firstLine="259"/>
        <w:spacing w:after="0" w:line="261" w:lineRule="auto"/>
        <w:rPr>
          <w:sz w:val="20"/>
          <w:szCs w:val="20"/>
          <w:color w:val="auto"/>
        </w:rPr>
      </w:pPr>
      <w:r>
        <w:rPr>
          <w:rFonts w:ascii="Times New Roman" w:cs="Times New Roman" w:eastAsia="Times New Roman" w:hAnsi="Times New Roman"/>
          <w:sz w:val="18"/>
          <w:szCs w:val="18"/>
          <w:color w:val="auto"/>
        </w:rPr>
        <w:t>Sales for Calavo Foods for the quarter ended July 31, 2020, when compared to the same period for fiscal 2019, decreased $6.8 million, or 27%. Sales of prepared avocado products decreased by approximately $6.7 million, or 27%, primarily related to a decrease in the total volume of pounds sold. Sales of prepared avocado products were impacted primarily by a decline in demand from foodservice customers related to COVID-19 during the quarter.</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2020 vs. Nine Months Ended 2019</w:t>
      </w:r>
    </w:p>
    <w:p>
      <w:pPr>
        <w:spacing w:after="0" w:line="225"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Sales for Calavo Foods for the nine months ended July 31, 2020, when compared to the same period for fiscal 2019, decreased $13.6 million, or 19%. Sales of prepared avocado products decreased by approximately $13.3 million, or 19%, primarily related to a decrease in the total volume of pounds sold.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Third Quarter 2020 vs. Third Quarter 2019</w:t>
      </w:r>
    </w:p>
    <w:p>
      <w:pPr>
        <w:spacing w:after="0" w:line="225"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Sales for RFG for the quarter ended July 31, 2020, when compared to the same period for fiscal 2019, decreased $36.6 million, or 29%. The decrease was primarily due to lower sales out of the Midwest, relating to the closure of RFG’s co-packing partner in that region. This was partially offset by additional sales in regions where RFG has added manufacturing capacity. Additionally, changing consumer demand and buying patterns related to COVID-19 adversely impacted RFG’s sales during the quarter.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Nine Months Ended 2020 vs. Nine Months Ended 2019</w:t>
      </w:r>
    </w:p>
    <w:p>
      <w:pPr>
        <w:spacing w:after="0" w:line="225"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Sales for RFG for the nine months ended July 31, 2020, when compared to the same period for fiscal 2019, decreased $55.2 million, or 15%. The decrease was primarily due to lower sales out of the Midwest, relating to the closure of RFG’s co-packing partner in that region. This was partially offset by additional sales in regions where RFG has added manufacturing capacity, most notably the Georgia facility which opened in April 2019, and from the Simply Fresh Fruit acquisition completed in February 2020.</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nine months ended July 31, 2020 and 2019:</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4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 w:type="dxa"/>
            <w:vAlign w:val="bottom"/>
          </w:tcPr>
          <w:p>
            <w:pPr>
              <w:spacing w:after="0"/>
              <w:rPr>
                <w:sz w:val="15"/>
                <w:szCs w:val="15"/>
                <w:color w:val="auto"/>
              </w:rPr>
            </w:pPr>
          </w:p>
        </w:tc>
        <w:tc>
          <w:tcPr>
            <w:tcW w:w="26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$ 17,734</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$ 25,384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$ 38,721</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$ 30,835</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$ 35,775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$ 68,718</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2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10.9 %</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12.2 %</w:t>
            </w: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8.3 %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16"/>
        </w:trPr>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21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26.6 %</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11.0 %</w:t>
            </w:r>
          </w:p>
        </w:tc>
        <w:tc>
          <w:tcPr>
            <w:tcW w:w="1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28.5 %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16"/>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2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8.9 %</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5.9 %</w:t>
            </w: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Consolidated</w:t>
            </w:r>
          </w:p>
        </w:tc>
        <w:tc>
          <w:tcPr>
            <w:tcW w:w="21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11.4 %</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1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8.3 %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5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 Gross profit decreased by approximately $4.9 million, or 14%, for the third quarter of fiscal 2020, when compared to the same period for fiscal 2019. Gross profit decreased by approximately $34.7 million, or 34%, for the nine months ended July 31, 2020, when compared to the same period for fiscal 2019. The decrease was primarily attributable to gross profit decreases across the Fresh products segment.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During our three months ended July 31, 2020, as compared to the same prior year period, the decrease in our Fresh products segment gross profit percentage was the result of decreased profit for avocados. For the third quarter ended July 31, 2020, the gross profit percentage for avocados was 10.9% compared to 12.2% in the third quarter of 2019. This decrease was primarily related to our strong performance during historically favorable market conditions in last year’s third quarter.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19" w:firstLine="304"/>
        <w:spacing w:after="0" w:line="266" w:lineRule="auto"/>
        <w:rPr>
          <w:sz w:val="20"/>
          <w:szCs w:val="20"/>
          <w:color w:val="auto"/>
        </w:rPr>
      </w:pPr>
      <w:r>
        <w:rPr>
          <w:rFonts w:ascii="Times New Roman" w:cs="Times New Roman" w:eastAsia="Times New Roman" w:hAnsi="Times New Roman"/>
          <w:sz w:val="18"/>
          <w:szCs w:val="18"/>
          <w:color w:val="auto"/>
        </w:rPr>
        <w:t>Gross profit for the quarter was also affected by the weakening of the U.S. Dollar in relation to the Mexican Peso during the quarter resulted in a $1.4 million net gain related the remeasurement of peso dominated net assets at our Mexican subsidiaries. During the same period last year, we had a remeasurement loss of $0.1 million.</w:t>
      </w:r>
    </w:p>
    <w:p>
      <w:pPr>
        <w:spacing w:after="0" w:line="176"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During our nine months ended July 31, 2020, as compared to the same prior year period, the decrease in our Fresh products segment gross profit percentage was the result of decreased profit for avocados. For the nine months ended July 31, 2020, the gross profit percentage for avocados was 8.3% compared to 15.5% in the same prior year period of fiscal 2019. This decrease was related to both the COVID-19 related impacts noted above and the poor fruit quality issues described during our first quarter.</w:t>
      </w:r>
    </w:p>
    <w:p>
      <w:pPr>
        <w:spacing w:after="0" w:line="183" w:lineRule="exact"/>
        <w:rPr>
          <w:sz w:val="20"/>
          <w:szCs w:val="20"/>
          <w:color w:val="auto"/>
        </w:rPr>
      </w:pPr>
    </w:p>
    <w:p>
      <w:pPr>
        <w:ind w:left="40" w:right="259" w:firstLine="304"/>
        <w:spacing w:after="0" w:line="282" w:lineRule="auto"/>
        <w:rPr>
          <w:sz w:val="20"/>
          <w:szCs w:val="20"/>
          <w:color w:val="auto"/>
        </w:rPr>
      </w:pPr>
      <w:r>
        <w:rPr>
          <w:rFonts w:ascii="Times New Roman" w:cs="Times New Roman" w:eastAsia="Times New Roman" w:hAnsi="Times New Roman"/>
          <w:sz w:val="18"/>
          <w:szCs w:val="18"/>
          <w:color w:val="auto"/>
        </w:rPr>
        <w:t>In addition, remeasurement losses related to the Mexican peso for our Mexican subsidiaries during the period totaled $1.9 million compared to a loss of $0.1 million during the year ago period.</w:t>
      </w:r>
    </w:p>
    <w:p>
      <w:pPr>
        <w:spacing w:after="0" w:line="162"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Note that any additional significant fluctuations in the exchange rate between the U.S. Dollar and the Mexican Peso may have a material impact on future gross profits for our Fresh products segment.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Calavo Foods’ gross profit percentage for the quarter ended July 31, 2020 was 26.6%, compared to 11.1% in the same prior year period. The increase in Calavo Foods gross profit percentage was due primarily to a decrease in fruit input costs, in addition to lower manufacturing costs related to facility process improvements completed last year.</w:t>
      </w:r>
    </w:p>
    <w:p>
      <w:pPr>
        <w:spacing w:after="0" w:line="176"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Calavo Foods’ gross profit percentage for the nine months ended July 31, 2020 was 28.5%, compared to 22.8% in the same prior year period. The increase in Calavo Foods gross profit percentage was due primarily to a decrease in fruit input costs, in addition to lower manufacturing costs relating to both the facility process improvements completed last year and the weaker Mexican Peso. Note that any significant fluctuation in the cost of fruit used in the production process or the exchange rate between the U.S. Dollar and the Mexican Peso may have a material impact on future gross profit for our Calavo Foods segment.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RFG’s gross profit percentage for the quarter ended July 31, 2020 was 8.9%, compared to 5.9% in the same prior year period. Gross profit and gross profit percentage generated by </w:t>
      </w:r>
      <w:r>
        <w:rPr>
          <w:rFonts w:ascii="Times New Roman" w:cs="Times New Roman" w:eastAsia="Times New Roman" w:hAnsi="Times New Roman"/>
          <w:sz w:val="18"/>
          <w:szCs w:val="18"/>
          <w:color w:val="212529"/>
        </w:rPr>
        <w:t>RFG’s pre-existing manufacturing operations (facilities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opened more than one year) both increased compared to the same prior year period driven by better raw material costs and improved labor efficiency, partially offset by weaker overhead absorption as a result of COVID-19 related volume declines. New production facilities improved on both a year-over-year and sequential period basis compared to the first quarter of 2020.</w:t>
      </w:r>
    </w:p>
    <w:p>
      <w:pPr>
        <w:spacing w:after="0" w:line="187" w:lineRule="exact"/>
        <w:rPr>
          <w:sz w:val="20"/>
          <w:szCs w:val="20"/>
          <w:color w:val="auto"/>
        </w:rPr>
      </w:pPr>
    </w:p>
    <w:p>
      <w:pPr>
        <w:ind w:left="40" w:right="139" w:firstLine="324"/>
        <w:spacing w:after="0" w:line="261" w:lineRule="auto"/>
        <w:rPr>
          <w:sz w:val="20"/>
          <w:szCs w:val="20"/>
          <w:color w:val="auto"/>
        </w:rPr>
      </w:pPr>
      <w:r>
        <w:rPr>
          <w:rFonts w:ascii="Times New Roman" w:cs="Times New Roman" w:eastAsia="Times New Roman" w:hAnsi="Times New Roman"/>
          <w:sz w:val="18"/>
          <w:szCs w:val="18"/>
          <w:color w:val="auto"/>
        </w:rPr>
        <w:t>RFG’s gross profit percentage for the nine months ended July 31, 2020 was 4.5%, compared to 3.7% in the same prior year period. Gross profit increases at company operated facilities during the period reflect maturity of new facilities, improvements in material control, and labor efficiencies; partially offset by lower gross profit out of regions served by co-packing partners mainly due to closure of our Midwest co-packing partner.</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4"/>
                <w:szCs w:val="14"/>
                <w:color w:val="auto"/>
              </w:rPr>
            </w:pPr>
          </w:p>
        </w:tc>
        <w:tc>
          <w:tcPr>
            <w:tcW w:w="25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60" w:type="dxa"/>
            <w:vAlign w:val="bottom"/>
            <w:gridSpan w:val="7"/>
          </w:tcPr>
          <w:p>
            <w:pPr>
              <w:jc w:val="right"/>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gridSpan w:val="7"/>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$ 13,424</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$ 14,295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$ 44,226</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$ 44,228</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r>
    </w:tbl>
    <w:p>
      <w:pPr>
        <w:spacing w:after="0" w:line="179" w:lineRule="exact"/>
        <w:rPr>
          <w:sz w:val="20"/>
          <w:szCs w:val="20"/>
          <w:color w:val="auto"/>
        </w:rPr>
      </w:pPr>
    </w:p>
    <w:p>
      <w:pPr>
        <w:ind w:left="40" w:right="119" w:firstLine="27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of $13.4 million for the three months ended July 31, 2020 include costs of marketing and advertising, sales expenses (including broker commissions) and other general and administrative costs. Selling, general and administrative expenses decreased by $0.9 million, or 6%, for the three months ended July 31, 2020, when compared to the same period for fiscal 2019. This was primarily related to a decrease in the accrual for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spacing w:after="0" w:line="282" w:lineRule="auto"/>
        <w:rPr>
          <w:sz w:val="20"/>
          <w:szCs w:val="20"/>
          <w:color w:val="auto"/>
        </w:rPr>
      </w:pPr>
      <w:r>
        <w:rPr>
          <w:rFonts w:ascii="Times New Roman" w:cs="Times New Roman" w:eastAsia="Times New Roman" w:hAnsi="Times New Roman"/>
          <w:sz w:val="18"/>
          <w:szCs w:val="18"/>
          <w:color w:val="auto"/>
        </w:rPr>
        <w:t>performance-based senior management bonuses ($0.9 million) and decreases due to eliminations of staff positions at the start of the third quarter which is partially offset by our annual compensation increase.</w:t>
      </w:r>
    </w:p>
    <w:p>
      <w:pPr>
        <w:spacing w:after="0" w:line="162" w:lineRule="exact"/>
        <w:rPr>
          <w:sz w:val="20"/>
          <w:szCs w:val="20"/>
          <w:color w:val="auto"/>
        </w:rPr>
      </w:pPr>
    </w:p>
    <w:p>
      <w:pPr>
        <w:ind w:left="40" w:right="79" w:firstLine="225"/>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of $44.3 million for the nine months ended July 31, 2020 include costs of marketing and advertising, sales expenses (including broker commissions) and other general and administrative costs. Selling, general and administrative expenses increased less than $0.1 million, for the nine months ended July 31, 2020, when compared to the same period for fiscal 2019. This was primarily related to certain management transition expenses incurred during the quarter ($0.9 million), an increase in professional service fees ($0.9 million), an increase in salary &amp; benefit expense ($0.5 million), and approximately $0.3 million in transaction fees related to the acquisition of Simply Fresh Fruit. Partially offsetting these increases, is a decrease in the accrual for performance-based senior management bonuses ($2.6 million).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on reserve for FreshRealm note receivable and impairment of investment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120" w:type="dxa"/>
            <w:vAlign w:val="bottom"/>
            <w:gridSpan w:val="5"/>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210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w w:val="71"/>
              </w:rPr>
              <w:t>in</w:t>
            </w:r>
          </w:p>
        </w:tc>
        <w:tc>
          <w:tcPr>
            <w:tcW w:w="4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520" w:type="dxa"/>
            <w:vAlign w:val="bottom"/>
          </w:tcPr>
          <w:p>
            <w:pPr>
              <w:spacing w:after="0"/>
              <w:rPr>
                <w:sz w:val="11"/>
                <w:szCs w:val="11"/>
                <w:color w:val="auto"/>
              </w:rPr>
            </w:pPr>
          </w:p>
        </w:tc>
        <w:tc>
          <w:tcPr>
            <w:tcW w:w="1580" w:type="dxa"/>
            <w:vAlign w:val="bottom"/>
            <w:gridSpan w:val="4"/>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89"/>
              </w:rPr>
              <w:t>(Dollars in thousands)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w w:val="87"/>
              </w:rPr>
              <w:t>(Dollars</w:t>
            </w:r>
          </w:p>
        </w:tc>
        <w:tc>
          <w:tcPr>
            <w:tcW w:w="180" w:type="dxa"/>
            <w:vAlign w:val="bottom"/>
            <w:vMerge w:val="continue"/>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the reserve for FreshRealm note receivable and</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(37,192)</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(37,192)</w:t>
            </w:r>
          </w:p>
        </w:tc>
        <w:tc>
          <w:tcPr>
            <w:tcW w:w="1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During the third quarter of fiscal 2020, the results of operations of FreshRealm have deteriorated significantly from our expectations three months ago, with declining sales and continuing losses.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In accordance with the foregoing, we have recorded an impairment of 100% of our equity investment of $2.8 million, and we have recorded a reserve for collectability of 100% of our note receivable balance of $34.2 million (which includes accrued interest of $4.1 million), and $0.2 million in trade accounts receivable as of July 31, 2020, which resulted in a loss of $37.2 million, which is included in the accompanying statement of operations under “Loss on reserve for FreshRealm note receivable and impairment of investment”.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3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r>
      <w:tr>
        <w:trPr>
          <w:trHeight w:val="128"/>
        </w:trPr>
        <w:tc>
          <w:tcPr>
            <w:tcW w:w="3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1"/>
                <w:szCs w:val="11"/>
                <w:color w:val="auto"/>
              </w:rPr>
            </w:pPr>
          </w:p>
        </w:tc>
        <w:tc>
          <w:tcPr>
            <w:tcW w:w="234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1"/>
                <w:szCs w:val="1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(2,510)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(6,375)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(11,944)</w:t>
            </w:r>
          </w:p>
        </w:tc>
      </w:tr>
    </w:tbl>
    <w:p>
      <w:pPr>
        <w:spacing w:after="0" w:line="198"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Losses from unconsolidated entities includes our allocation of earnings or losses from our investments in FreshRealm and Don Memo. For the three months ended July 31, 2020, we recognized $0.6 million of income related to Don Memo compared to $0.5 million of losses in the three months ended July 31, 2019. For the nine months ended July 31, 2020, we recognized $0.9 million of income related to Don Memo compared to $0.1 million of income in the nine months ended July 31, 2019. For the three months ended July 31, 2020 and 2019, we recognized $1.8 million and $2.0 million of losses related to FreshRealm. For the nine months ended July 31, 2020 and 2019, we recognized $7.2 million and $12.0 million of losses related to FreshRealm. See Note 12 and Note 18 for additional information regarding FreshRealm.</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 Benefit (Provision)</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 w:type="dxa"/>
            <w:vAlign w:val="bottom"/>
          </w:tcPr>
          <w:p>
            <w:pPr>
              <w:spacing w:after="0"/>
              <w:rPr>
                <w:sz w:val="14"/>
                <w:szCs w:val="14"/>
                <w:color w:val="auto"/>
              </w:rPr>
            </w:pPr>
          </w:p>
        </w:tc>
        <w:tc>
          <w:tcPr>
            <w:tcW w:w="2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Change   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Change   2019</w:t>
            </w:r>
          </w:p>
        </w:tc>
        <w:tc>
          <w:tcPr>
            <w:tcW w:w="200" w:type="dxa"/>
            <w:vAlign w:val="bottom"/>
          </w:tcPr>
          <w:p>
            <w:pPr>
              <w:spacing w:after="0"/>
              <w:rPr>
                <w:sz w:val="12"/>
                <w:szCs w:val="12"/>
                <w:color w:val="auto"/>
              </w:rPr>
            </w:pPr>
          </w:p>
        </w:tc>
      </w:tr>
      <w:tr>
        <w:trPr>
          <w:trHeight w:val="209"/>
        </w:trPr>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$ 4,682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 $ (3,987)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$ 6,540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 $ (11,093)</w:t>
            </w:r>
          </w:p>
        </w:tc>
      </w:tr>
      <w:tr>
        <w:trPr>
          <w:trHeight w:val="234"/>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1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23.1 %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27.2 %</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26.1 %</w:t>
            </w:r>
          </w:p>
        </w:tc>
      </w:tr>
    </w:tbl>
    <w:p>
      <w:pPr>
        <w:spacing w:after="0" w:line="179" w:lineRule="exact"/>
        <w:rPr>
          <w:sz w:val="20"/>
          <w:szCs w:val="20"/>
          <w:color w:val="auto"/>
        </w:rPr>
      </w:pPr>
    </w:p>
    <w:p>
      <w:pPr>
        <w:jc w:val="both"/>
        <w:ind w:left="40" w:right="119" w:firstLine="225"/>
        <w:spacing w:after="0" w:line="282"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adjusted for discrete taxable events that may occur during the quarter. For the three and nine months ended July 31, 2020, we recorded a discrete income tax</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benefit of $9.3 million related to the reserve of FreshRealm’s note receivable and impairment of investment. This decreased our effective tax rate to 23.1% and 24.7% for the three and nine months ended July 31, 2020. In addition, for the nine months ended July 31, 2020, we recorded a discrete income tax benefit of approximately $0.2 million, pursuant to ASU 2016-09, Improvements to Employee Share-based Payment Accounting.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Cash used by operating activities was $19.6 million for the nine months ended July 31, 2020, compared to cash provided by operating activities of $60.5 million for the similar period in fiscal 2019. Cash used by operating activities for the nine months ended July 31, 2020 reflect primarily our net loss of $20.0 million, plus add-backs for non-cash activities (depreciation and amortization, stock-based compensation expense, provision for losses on accounts receivable, losses from unconsolidated entities, net losses on Limoneira shares, interest income on Notes to FreshRealm, deferred taxes, loss on disposal of property, plant and equipment, loss on the reserve for FreshRealm and gain on the sale of the Temecula packinghouse) of $59.1 million and a net decrease in the components of our working capital of approximately $18.7 million.</w:t>
      </w:r>
    </w:p>
    <w:p>
      <w:pPr>
        <w:spacing w:after="0" w:line="192"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Decreases in operating cash flows, caused by working capital changes, includes a net decrease in accounts payable and accrued expenses of $12.7 million, an increase in inventory of $6.4 million, an increase in income taxes receivable/payable of $4.6 million, an increase in accounts receivable of $4.0 million, and an increase in prepaid expenses and other current assets of $0.8 million, partially offset by, an increase in payable to growers of $5.0 million, and a decrease in advances to suppliers of $4.9 million.</w:t>
      </w:r>
    </w:p>
    <w:p>
      <w:pPr>
        <w:spacing w:after="0" w:line="183"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The decrease in accounts payable and accrued expenses is primarily related to a decrease in payables to RFG co-packers and a reduction in discretionary spending. The increase in income taxes receivable/payable is due to the net loss and the timing of estimated payments made during the nine months ended July 31, 2020. The increase in inventory is related to an increase in the volume of prepared frozen guacamole products held in inventory at July 31, 2020 when compared to October 31, 2019. The increase in our accounts receivable, as of July 31, 2020 when compared to October 31, 2019, primarily due a timing increase in the days sales outstanding. The increase in payable to growers primarily reflects an increase in our avocado grower liability related to California avocado volumes and Mexican avocado costs. The decrease in advances to suppliers primarily reflects the re-payment of preseason advances as a result of increased tomato sales.</w:t>
      </w:r>
    </w:p>
    <w:p>
      <w:pPr>
        <w:spacing w:after="0" w:line="188" w:lineRule="exact"/>
        <w:rPr>
          <w:sz w:val="20"/>
          <w:szCs w:val="20"/>
          <w:color w:val="auto"/>
        </w:rPr>
      </w:pPr>
    </w:p>
    <w:p>
      <w:pPr>
        <w:jc w:val="both"/>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$28.2 million for the nine months ended July 31, 2020, which primarily related to the purchase of SFFI for $18.4 million net of cash received, purchases of property, plant and equipment of $8.3 million and additional investments in FreshRealm of $1.5 million.</w:t>
      </w:r>
    </w:p>
    <w:p>
      <w:pPr>
        <w:spacing w:after="0" w:line="176"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$3.5 million for the nine months ended July 31, 2020, which related principally to net proceeds on our credit facilities totaling $24.6 million, partially offset by, the payment of our $19.4 million dividend, the payment of minimum withholding taxes on net share settlement of equity awards of $1.2 million, and payments of $0.7 million on our long-term debt obligations.</w:t>
      </w:r>
    </w:p>
    <w:p>
      <w:pPr>
        <w:spacing w:after="0" w:line="99"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balances, cash generated from operations, amounts available for borrowing under our existing Credit Facility, and our investment in Limoneira shares. Cash and cash equivalents as of July 31, 2020 and October 31, 2019 totaled $3.6 million and $8.0 million. Our working capital at July 31, 2020 was $40.0 million, compared to $36.9 million at October 31, 2019.</w:t>
      </w:r>
    </w:p>
    <w:p>
      <w:pPr>
        <w:spacing w:after="0" w:line="99"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agreement is $80 million and will expire in June 2021. We expect to refinance our line of credit before June of 2021. Upon notice to Bank of America, we may from time to time, request an increase in the Credit Facility by an amount not exceeding $50 million. For our current credit agreement, the weighted-average interest rate was 1.9% and 3.8% at July 31, 2020 and October 31, 2019. Under these credit facilities, we had $24.6 million outstanding as July 31, 2020. There was nothing outstanding as of October 31, 2019.</w:t>
      </w:r>
    </w:p>
    <w:p>
      <w:pPr>
        <w:spacing w:after="0" w:line="183" w:lineRule="exact"/>
        <w:rPr>
          <w:sz w:val="20"/>
          <w:szCs w:val="20"/>
          <w:color w:val="auto"/>
        </w:rPr>
      </w:pPr>
    </w:p>
    <w:p>
      <w:pPr>
        <w:ind w:left="40" w:right="79" w:firstLine="225"/>
        <w:spacing w:after="0" w:line="261" w:lineRule="auto"/>
        <w:rPr>
          <w:sz w:val="20"/>
          <w:szCs w:val="20"/>
          <w:color w:val="auto"/>
        </w:rPr>
      </w:pPr>
      <w:r>
        <w:rPr>
          <w:rFonts w:ascii="Times New Roman" w:cs="Times New Roman" w:eastAsia="Times New Roman" w:hAnsi="Times New Roman"/>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commitments, from those previously disclosed in our Annual Report on Form 10-K for our fiscal year ended October 31, 2019. For a summary of the contractual commitments at October 31, 2019, see Part II, Item 7, in our 2019 Annual Report on Form 10-K.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2020.</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4"/>
                <w:szCs w:val="14"/>
                <w:color w:val="auto"/>
              </w:rPr>
              <w:t>Expected maturity date July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14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69,724</w:t>
            </w: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 borrowings pursuant to credit facilities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08" w:lineRule="exact"/>
        <w:rPr>
          <w:sz w:val="20"/>
          <w:szCs w:val="20"/>
          <w:color w:val="auto"/>
        </w:rPr>
      </w:pPr>
    </w:p>
    <w:p>
      <w:pPr>
        <w:ind w:left="360" w:right="79" w:hanging="316"/>
        <w:spacing w:after="0" w:line="261" w:lineRule="auto"/>
        <w:tabs>
          <w:tab w:leader="none" w:pos="3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86"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95"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gains for the three months ended July 31, 2020, net of losses, was $1.4 million. Total foreign currency remeasurement losses for the three months ended July 31, 2019, net of gains, was $0.1 million. Total foreign currency remeasurement losses for the nine months ended July 31, 2020 and 2019, net of gains, was $1.9 million and $0.1 million.</w: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75"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31, 2020, we implemented a new lease accounting system and process in response to the adoption of ASU No. 2016- 02, "Leases (Topic 842)". These implementations resulted in a material change in a component of our internal control over financial reporting. The operating effectiveness of these changes to our internal control over financial reporting will be evaluated as part of our annual assessment of the effectiveness of internal control over financial reporting for our 2020 fiscal year end.</w:t>
      </w:r>
    </w:p>
    <w:p>
      <w:pPr>
        <w:spacing w:after="0" w:line="75" w:lineRule="exact"/>
        <w:rPr>
          <w:sz w:val="20"/>
          <w:szCs w:val="20"/>
          <w:color w:val="auto"/>
        </w:rPr>
      </w:pPr>
    </w:p>
    <w:p>
      <w:pPr>
        <w:ind w:left="40" w:right="459" w:firstLine="259"/>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2020, we appointed a new Corporate Controller and CFO. These appointments resulted in a material change in our disclosure controls and procedures; we have determined that these controls and procedures remained effective for the three months ended July 31,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39" w:firstLine="243"/>
        <w:spacing w:after="0" w:line="256" w:lineRule="auto"/>
        <w:rPr>
          <w:sz w:val="20"/>
          <w:szCs w:val="20"/>
          <w:color w:val="auto"/>
        </w:rPr>
      </w:pPr>
      <w:r>
        <w:rPr>
          <w:rFonts w:ascii="Times New Roman" w:cs="Times New Roman" w:eastAsia="Times New Roman" w:hAnsi="Times New Roman"/>
          <w:sz w:val="18"/>
          <w:szCs w:val="18"/>
          <w:color w:val="auto"/>
        </w:rPr>
        <w:t>The risk factors set forth below update the risk factors in our Annual Report on Form 10-K for the year ended October 31, 2019. In addition to the risk factors below, you should carefully consider the risk factors discussed in our most recent Form 10-K report, which could materially affect our business, financial position, results of operations and the trading price of our common stock. Further note, that the risks and uncertainties that we face are not limited to those set forth below and/or in the 2019 Form 10-K. Additional risks and uncertainties not presently known to us or that we currently believe to be immaterial may also adversely affect our business and the trading price of our common stock.</w:t>
      </w:r>
    </w:p>
    <w:p>
      <w:pPr>
        <w:spacing w:after="0" w:line="183" w:lineRule="exact"/>
        <w:rPr>
          <w:sz w:val="20"/>
          <w:szCs w:val="20"/>
          <w:color w:val="auto"/>
        </w:rPr>
      </w:pPr>
    </w:p>
    <w:p>
      <w:pPr>
        <w:jc w:val="both"/>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resulting worldwide economic conditions are adversely affecting, and will likely continue to adversely affect, our business operations, financial condition, results of operations, and cash flows until such time as a vaccine and/or effective medical treatment is developed.</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Manufacturing and Supply Chain Disruption—</w:t>
      </w:r>
    </w:p>
    <w:p>
      <w:pPr>
        <w:spacing w:after="0" w:line="225"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color w:val="auto"/>
        </w:rPr>
        <w:t>We are experiencing operational challenges in the manufacturing of our products and the operation of the related supply chains supporting our ability to deliver our products to the consumer. These challenges include the implementation of health and safety measures to protect our employees, supplementing our workforce to compensate for employees disabled or temporarily unable to perform their duties, and temporary disruptions at certain of our manufacturing facilities. These conditions could lead to more prolonged disruptions and adverse financial impact in the future.</w:t>
      </w:r>
    </w:p>
    <w:p>
      <w:pPr>
        <w:spacing w:after="0" w:line="3"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The mandated shelter in place and social distancing measures which are we are required to follow create challenges for the successful operation of our facilities. These same measures also impact the ability of our vendors, suppliers, logistics providers, distributors, and customers, to ultimately support the delivery of our products to consumers.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Uncertain Future Consumer Demand –</w:t>
      </w:r>
    </w:p>
    <w:p>
      <w:pPr>
        <w:spacing w:after="0" w:line="225" w:lineRule="exact"/>
        <w:rPr>
          <w:sz w:val="20"/>
          <w:szCs w:val="20"/>
          <w:color w:val="auto"/>
        </w:rPr>
      </w:pPr>
    </w:p>
    <w:p>
      <w:pPr>
        <w:ind w:left="40" w:right="339"/>
        <w:spacing w:after="0" w:line="261" w:lineRule="auto"/>
        <w:rPr>
          <w:sz w:val="20"/>
          <w:szCs w:val="20"/>
          <w:color w:val="auto"/>
        </w:rPr>
      </w:pPr>
      <w:r>
        <w:rPr>
          <w:rFonts w:ascii="Times New Roman" w:cs="Times New Roman" w:eastAsia="Times New Roman" w:hAnsi="Times New Roman"/>
          <w:sz w:val="18"/>
          <w:szCs w:val="18"/>
          <w:color w:val="auto"/>
        </w:rPr>
        <w:t>While we have not experienced a significant loss of demand for our products during this pandemic, continued economic deterioration in the markets in which our products are sold, including unemployment, reductions in disposable income, declining consumer confidence, and perception of our products as non-essential, could result in future declines in the demand for our products.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Costs to confront the Pandemic –</w:t>
      </w:r>
    </w:p>
    <w:p>
      <w:pPr>
        <w:spacing w:after="0" w:line="225"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We have incurred, and may be required to continue to incur for an indeterminable period, increased costs related to overtime and sick pay, government mandated employee leave related to pandemic conditions, incremental pay for working under challenging conditions, temporary employees, temporary facility closures, sanitizing the work environment, and overall increased safety measures. Our operating results may be adversely affected if we fail to adequately manage these costs or if we experience significant unexpected costs in the future.</w:t>
      </w:r>
    </w:p>
    <w:p>
      <w:pPr>
        <w:spacing w:after="0" w:line="183"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ultimate impact of the COVID-19 pandemic on our operations and financial performance depends on many factors that are not within our control. If we are unable to successfully manage our business through the challenges and uncertainty created by the COVID-19 pandemic, our business and operating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COVID-19 pandemic results in a prolonged adverse impact on our operating results, our goodwill and other intangibles assets may be at risk of future impairment.</w:t>
      </w:r>
    </w:p>
    <w:p>
      <w:pPr>
        <w:spacing w:after="0" w:line="159"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We have significant goodwill and intangibles balances recorded with respect to our RFG segment and the recently acquired Simply Fresh operations, which we periodically review for impairment. These assets are sensitive to any significant changes in related results of operations of the underlying businesses. The pandemic has had adverse effects on the RFG and Simply Fresh operations, although no impairment of the related goodwill and intangibles balances has occurred during the quarter ended July 31, 2020. However, we cannot predict the effects that any continued adverse conditions from the pandemic may have on the future impairment of these assets.</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260" w:right="79" w:hanging="579"/>
        <w:spacing w:after="0" w:line="26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42">
        <w:r>
          <w:rPr>
            <w:rFonts w:ascii="Times New Roman" w:cs="Times New Roman" w:eastAsia="Times New Roman" w:hAnsi="Times New Roman"/>
            <w:sz w:val="18"/>
            <w:szCs w:val="18"/>
            <w:u w:val="single" w:color="auto"/>
            <w:color w:val="0000EE"/>
          </w:rPr>
          <w:t>Certification of Chief Executive Officer Pursuant to 15 U.S.C. § 7241, as Adopted Pursuant to Section 302</w:t>
        </w:r>
      </w:hyperlink>
      <w:r>
        <w:rPr>
          <w:rFonts w:ascii="Times New Roman" w:cs="Times New Roman" w:eastAsia="Times New Roman" w:hAnsi="Times New Roman"/>
          <w:sz w:val="18"/>
          <w:szCs w:val="18"/>
          <w:u w:val="single" w:color="auto"/>
          <w:color w:val="0000EE"/>
        </w:rPr>
        <w:t xml:space="preserve"> </w:t>
      </w:r>
      <w:hyperlink w:anchor="page42">
        <w:r>
          <w:rPr>
            <w:rFonts w:ascii="Times New Roman" w:cs="Times New Roman" w:eastAsia="Times New Roman" w:hAnsi="Times New Roman"/>
            <w:sz w:val="18"/>
            <w:szCs w:val="18"/>
            <w:u w:val="single" w:color="auto"/>
            <w:color w:val="0000EE"/>
          </w:rPr>
          <w:t>of the Sarbanes-Oxley Act of 2002.</w:t>
        </w:r>
      </w:hyperlink>
    </w:p>
    <w:p>
      <w:pPr>
        <w:spacing w:after="0" w:line="149" w:lineRule="exact"/>
        <w:rPr>
          <w:sz w:val="20"/>
          <w:szCs w:val="20"/>
          <w:color w:val="auto"/>
        </w:rPr>
      </w:pPr>
    </w:p>
    <w:p>
      <w:pPr>
        <w:ind w:left="68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43">
        <w:r>
          <w:rPr>
            <w:rFonts w:ascii="Times New Roman" w:cs="Times New Roman" w:eastAsia="Times New Roman" w:hAnsi="Times New Roman"/>
            <w:sz w:val="18"/>
            <w:szCs w:val="18"/>
            <w:u w:val="single" w:color="auto"/>
            <w:color w:val="0000EE"/>
          </w:rPr>
          <w:t>Certification of Principal Financial Officer Pursuant to 15 U.S.C. § 7241, as Adopted Pursuant to Section</w:t>
        </w:r>
      </w:hyperlink>
    </w:p>
    <w:p>
      <w:pPr>
        <w:spacing w:after="0" w:line="16"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302 of the Sarbanes-Oxley Act of 2002.</w:t>
        </w:r>
      </w:hyperlink>
    </w:p>
    <w:p>
      <w:pPr>
        <w:spacing w:after="0" w:line="178" w:lineRule="exact"/>
        <w:rPr>
          <w:sz w:val="20"/>
          <w:szCs w:val="20"/>
          <w:color w:val="auto"/>
        </w:rPr>
      </w:pPr>
    </w:p>
    <w:p>
      <w:pPr>
        <w:ind w:left="1260" w:right="379" w:hanging="579"/>
        <w:spacing w:after="0" w:line="26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44">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w:t>
        </w:r>
      </w:hyperlink>
      <w:r>
        <w:rPr>
          <w:rFonts w:ascii="Times New Roman" w:cs="Times New Roman" w:eastAsia="Times New Roman" w:hAnsi="Times New Roman"/>
          <w:sz w:val="18"/>
          <w:szCs w:val="18"/>
          <w:u w:val="single" w:color="auto"/>
          <w:color w:val="0000EE"/>
        </w:rPr>
        <w:t xml:space="preserve"> </w:t>
      </w:r>
      <w:hyperlink w:anchor="page44">
        <w:r>
          <w:rPr>
            <w:rFonts w:ascii="Times New Roman" w:cs="Times New Roman" w:eastAsia="Times New Roman" w:hAnsi="Times New Roman"/>
            <w:sz w:val="18"/>
            <w:szCs w:val="18"/>
            <w:u w:val="single" w:color="auto"/>
            <w:color w:val="0000EE"/>
          </w:rPr>
          <w:t>U.S.C. Section 1350.</w:t>
        </w:r>
      </w:hyperlink>
    </w:p>
    <w:p>
      <w:pPr>
        <w:spacing w:after="0" w:line="149" w:lineRule="exact"/>
        <w:rPr>
          <w:sz w:val="20"/>
          <w:szCs w:val="20"/>
          <w:color w:val="auto"/>
        </w:rPr>
      </w:pPr>
    </w:p>
    <w:p>
      <w:pPr>
        <w:ind w:left="1260" w:right="99" w:hanging="590"/>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July 31, 2020, formatted in Inline XBRL (Extensible Business Reporting Language): (1) Consolidated Condensed Balance Sheets as of July 31, 2020 and October 31, 2019; (2) Consolidated Condensed Statements of Income for the three and nine months ended July 31, 2020 and 2019; (3) Consolidated Condensed Statements of Cash Flows for the three and nine months ended July 31, 2020 and 2019; (4) Consolidated Statements of Shareholders Equity for the three and nine months ended July 31, 2020 and 2019; and (5) Notes to Unaudited Condensed Consolidated Financial Statements.</w:t>
      </w:r>
    </w:p>
    <w:p>
      <w:pPr>
        <w:spacing w:after="0" w:line="171" w:lineRule="exact"/>
        <w:rPr>
          <w:sz w:val="20"/>
          <w:szCs w:val="20"/>
          <w:color w:val="auto"/>
        </w:rPr>
      </w:pPr>
    </w:p>
    <w:p>
      <w:pPr>
        <w:ind w:left="68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2020</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Gibson</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Gibson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2020</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Manion</w:t>
            </w:r>
          </w:p>
        </w:tc>
      </w:tr>
      <w:tr>
        <w:trPr>
          <w:trHeight w:val="211"/>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Kevin Manion</w:t>
            </w:r>
          </w:p>
        </w:tc>
      </w:tr>
    </w:tbl>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James Gibson, certify that:</w:t>
      </w:r>
    </w:p>
    <w:p>
      <w:pPr>
        <w:spacing w:after="0" w:line="221" w:lineRule="exact"/>
        <w:rPr>
          <w:sz w:val="20"/>
          <w:szCs w:val="20"/>
          <w:color w:val="auto"/>
        </w:rPr>
      </w:pPr>
    </w:p>
    <w:p>
      <w:pPr>
        <w:ind w:left="700" w:hanging="656"/>
        <w:spacing w:after="0"/>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21" w:lineRule="exact"/>
        <w:rPr>
          <w:rFonts w:ascii="Times New Roman" w:cs="Times New Roman" w:eastAsia="Times New Roman" w:hAnsi="Times New Roman"/>
          <w:sz w:val="16"/>
          <w:szCs w:val="16"/>
          <w:color w:val="auto"/>
        </w:rPr>
      </w:pPr>
    </w:p>
    <w:p>
      <w:pPr>
        <w:ind w:left="700" w:right="179" w:hanging="656"/>
        <w:spacing w:after="0" w:line="263"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700" w:right="239" w:hanging="656"/>
        <w:spacing w:after="0" w:line="263"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700" w:right="539" w:hanging="656"/>
        <w:spacing w:after="0" w:line="263"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6"/>
          <w:szCs w:val="16"/>
          <w:color w:val="auto"/>
        </w:rPr>
      </w:pPr>
    </w:p>
    <w:p>
      <w:pPr>
        <w:ind w:left="1340" w:right="79" w:hanging="648"/>
        <w:spacing w:after="0" w:line="258"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ind w:left="1340" w:right="119" w:hanging="648"/>
        <w:spacing w:after="0" w:line="258"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1340" w:right="159" w:hanging="648"/>
        <w:spacing w:after="0" w:line="263"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6"/>
          <w:szCs w:val="16"/>
          <w:color w:val="auto"/>
        </w:rPr>
      </w:pPr>
    </w:p>
    <w:p>
      <w:pPr>
        <w:ind w:left="1340" w:right="179" w:hanging="648"/>
        <w:spacing w:after="0" w:line="263"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6"/>
          <w:szCs w:val="16"/>
          <w:color w:val="auto"/>
        </w:rPr>
      </w:pPr>
    </w:p>
    <w:p>
      <w:pPr>
        <w:ind w:left="700" w:right="479" w:hanging="656"/>
        <w:spacing w:after="0" w:line="280" w:lineRule="auto"/>
        <w:tabs>
          <w:tab w:leader="none" w:pos="7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63"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6"/>
          <w:szCs w:val="16"/>
          <w:color w:val="auto"/>
        </w:rPr>
      </w:pPr>
    </w:p>
    <w:p>
      <w:pPr>
        <w:ind w:left="1340" w:right="159" w:hanging="648"/>
        <w:spacing w:after="0" w:line="280" w:lineRule="auto"/>
        <w:tabs>
          <w:tab w:leader="none" w:pos="13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6"/>
          <w:szCs w:val="16"/>
          <w:color w:val="auto"/>
        </w:rPr>
        <w:t>Date: September 9</w:t>
      </w:r>
      <w:r>
        <w:rPr>
          <w:rFonts w:ascii="Times New Roman" w:cs="Times New Roman" w:eastAsia="Times New Roman" w:hAnsi="Times New Roman"/>
          <w:sz w:val="17"/>
          <w:szCs w:val="17"/>
          <w:color w:val="auto"/>
        </w:rPr>
        <w:t>, 2020</w:t>
      </w:r>
      <w:r>
        <w:rPr>
          <w:sz w:val="20"/>
          <w:szCs w:val="20"/>
          <w:color w:val="auto"/>
        </w:rPr>
        <w:tab/>
      </w:r>
      <w:r>
        <w:rPr>
          <w:rFonts w:ascii="Times New Roman" w:cs="Times New Roman" w:eastAsia="Times New Roman" w:hAnsi="Times New Roman"/>
          <w:sz w:val="16"/>
          <w:szCs w:val="16"/>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15875</wp:posOffset>
            </wp:positionV>
            <wp:extent cx="28289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James Gibson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Kevin Manion, certify that:</w:t>
      </w:r>
    </w:p>
    <w:p>
      <w:pPr>
        <w:spacing w:after="0" w:line="221" w:lineRule="exact"/>
        <w:rPr>
          <w:sz w:val="20"/>
          <w:szCs w:val="20"/>
          <w:color w:val="auto"/>
        </w:rPr>
      </w:pPr>
    </w:p>
    <w:p>
      <w:pPr>
        <w:ind w:left="700" w:hanging="656"/>
        <w:spacing w:after="0"/>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21" w:lineRule="exact"/>
        <w:rPr>
          <w:rFonts w:ascii="Times New Roman" w:cs="Times New Roman" w:eastAsia="Times New Roman" w:hAnsi="Times New Roman"/>
          <w:sz w:val="16"/>
          <w:szCs w:val="16"/>
          <w:color w:val="auto"/>
        </w:rPr>
      </w:pPr>
    </w:p>
    <w:p>
      <w:pPr>
        <w:ind w:left="700" w:right="179" w:hanging="656"/>
        <w:spacing w:after="0" w:line="263"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700" w:right="239" w:hanging="656"/>
        <w:spacing w:after="0" w:line="263"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700" w:right="539" w:hanging="656"/>
        <w:spacing w:after="0" w:line="263"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6"/>
          <w:szCs w:val="16"/>
          <w:color w:val="auto"/>
        </w:rPr>
      </w:pPr>
    </w:p>
    <w:p>
      <w:pPr>
        <w:ind w:left="1340" w:right="79" w:hanging="648"/>
        <w:spacing w:after="0" w:line="258"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ind w:left="1340" w:right="119" w:hanging="648"/>
        <w:spacing w:after="0" w:line="258"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1340" w:right="159" w:hanging="648"/>
        <w:spacing w:after="0" w:line="263"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6"/>
          <w:szCs w:val="16"/>
          <w:color w:val="auto"/>
        </w:rPr>
      </w:pPr>
    </w:p>
    <w:p>
      <w:pPr>
        <w:ind w:left="1340" w:right="179" w:hanging="648"/>
        <w:spacing w:after="0" w:line="263"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6"/>
          <w:szCs w:val="16"/>
          <w:color w:val="auto"/>
        </w:rPr>
      </w:pPr>
    </w:p>
    <w:p>
      <w:pPr>
        <w:ind w:left="700" w:right="479" w:hanging="656"/>
        <w:spacing w:after="0" w:line="280" w:lineRule="auto"/>
        <w:tabs>
          <w:tab w:leader="none" w:pos="7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63"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6"/>
          <w:szCs w:val="16"/>
          <w:color w:val="auto"/>
        </w:rPr>
      </w:pPr>
    </w:p>
    <w:p>
      <w:pPr>
        <w:ind w:left="1340" w:right="159" w:hanging="648"/>
        <w:spacing w:after="0" w:line="280" w:lineRule="auto"/>
        <w:tabs>
          <w:tab w:leader="none" w:pos="13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September 9, 2020</w:t>
      </w:r>
      <w:r>
        <w:rPr>
          <w:sz w:val="20"/>
          <w:szCs w:val="20"/>
          <w:color w:val="auto"/>
        </w:rPr>
        <w:tab/>
      </w:r>
      <w:r>
        <w:rPr>
          <w:rFonts w:ascii="Times New Roman" w:cs="Times New Roman" w:eastAsia="Times New Roman" w:hAnsi="Times New Roman"/>
          <w:sz w:val="16"/>
          <w:szCs w:val="16"/>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15875</wp:posOffset>
            </wp:positionV>
            <wp:extent cx="2854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Kevin Manion</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513080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78" w:lineRule="exact"/>
        <w:rPr>
          <w:sz w:val="20"/>
          <w:szCs w:val="20"/>
          <w:color w:val="auto"/>
        </w:rPr>
      </w:pPr>
    </w:p>
    <w:p>
      <w:pPr>
        <w:ind w:left="40" w:right="59" w:firstLine="648"/>
        <w:spacing w:after="0" w:line="241" w:lineRule="auto"/>
        <w:rPr>
          <w:sz w:val="20"/>
          <w:szCs w:val="20"/>
          <w:color w:val="auto"/>
        </w:rPr>
      </w:pPr>
      <w:r>
        <w:rPr>
          <w:rFonts w:ascii="Times New Roman" w:cs="Times New Roman" w:eastAsia="Times New Roman" w:hAnsi="Times New Roman"/>
          <w:sz w:val="18"/>
          <w:szCs w:val="18"/>
          <w:color w:val="auto"/>
        </w:rPr>
        <w:t>Each of the undersigned, the Chief Executive Officer, and Chief Financial Officer of Calavo Growers, Inc. (the Company), hereby certifies, pursuant to 18 U.S.C. Section 1350, as adopted pursuant to Section 906 of the Sarbanes-Oxley Act of 2002, that, to his knowledge, the Company’s Quarterly Report on Form 10-Q for the quarter ended July 31, 2020,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9, 2020</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Gibson</w:t>
      </w: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Manion</w:t>
      </w: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853440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7"/>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0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2020-09-09T12:06:09Z</dcterms:created>
  <dcterms:modified xsi:type="dcterms:W3CDTF">2020-09-09T12:06:09Z</dcterms:modified>
</cp:coreProperties>
</file>