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jc w:val="center"/>
        <w:ind w:right="20"/>
        <w:spacing w:after="0" w:line="188" w:lineRule="auto"/>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50165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9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116" w:lineRule="exact"/>
        <w:rPr>
          <w:sz w:val="24"/>
          <w:szCs w:val="24"/>
          <w:color w:val="auto"/>
        </w:rPr>
      </w:pPr>
    </w:p>
    <w:p>
      <w:pPr>
        <w:ind w:left="1500" w:hanging="536"/>
        <w:spacing w:after="0"/>
        <w:tabs>
          <w:tab w:leader="none" w:pos="1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April 30, 2018</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12" w:lineRule="exact"/>
        <w:rPr>
          <w:sz w:val="24"/>
          <w:szCs w:val="24"/>
          <w:color w:val="auto"/>
        </w:rPr>
      </w:pPr>
    </w:p>
    <w:p>
      <w:pPr>
        <w:ind w:left="1500" w:hanging="536"/>
        <w:spacing w:after="0"/>
        <w:tabs>
          <w:tab w:leader="none" w:pos="1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000-33385</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CALAVO GROWERS, INC.</w:t>
      </w: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0400"/>
          </w:cols>
          <w:pgMar w:left="760" w:top="233" w:right="739" w:bottom="1440" w:gutter="0" w:footer="0" w:header="0"/>
        </w:sectPr>
      </w:pPr>
    </w:p>
    <w:p>
      <w:pPr>
        <w:spacing w:after="0" w:line="125"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33-0945304</w:t>
      </w:r>
    </w:p>
    <w:p>
      <w:pPr>
        <w:spacing w:after="0" w:line="122" w:lineRule="exact"/>
        <w:rPr>
          <w:sz w:val="24"/>
          <w:szCs w:val="24"/>
          <w:color w:val="auto"/>
        </w:rPr>
      </w:pPr>
    </w:p>
    <w:p>
      <w:pPr>
        <w:sectPr>
          <w:pgSz w:w="11900" w:h="16838" w:orient="portrait"/>
          <w:cols w:equalWidth="0" w:num="2">
            <w:col w:w="6680" w:space="720"/>
            <w:col w:w="3000"/>
          </w:cols>
          <w:pgMar w:left="760" w:top="233" w:right="739" w:bottom="1440" w:gutter="0" w:footer="0" w:header="0"/>
          <w:type w:val="continuous"/>
        </w:sectPr>
      </w:pPr>
    </w:p>
    <w:p>
      <w:pPr>
        <w:ind w:left="2000"/>
        <w:spacing w:after="0"/>
        <w:rPr>
          <w:sz w:val="20"/>
          <w:szCs w:val="20"/>
          <w:color w:val="auto"/>
        </w:rPr>
      </w:pPr>
      <w:r>
        <w:rPr>
          <w:rFonts w:ascii="Arial" w:cs="Arial" w:eastAsia="Arial" w:hAnsi="Arial"/>
          <w:sz w:val="11"/>
          <w:szCs w:val="1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200" w:lineRule="exact"/>
        <w:rPr>
          <w:sz w:val="24"/>
          <w:szCs w:val="24"/>
          <w:color w:val="auto"/>
        </w:rPr>
      </w:pPr>
    </w:p>
    <w:p>
      <w:pPr>
        <w:sectPr>
          <w:pgSz w:w="11900" w:h="16838" w:orient="portrait"/>
          <w:cols w:equalWidth="0" w:num="2">
            <w:col w:w="6160" w:space="720"/>
            <w:col w:w="3520"/>
          </w:cols>
          <w:pgMar w:left="760" w:top="233" w:right="739" w:bottom="1440"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1141-A Cummings Road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Santa Paula, California  93060</w:t>
      </w:r>
    </w:p>
    <w:p>
      <w:pPr>
        <w:sectPr>
          <w:pgSz w:w="11900" w:h="16838" w:orient="portrait"/>
          <w:cols w:equalWidth="0" w:num="1">
            <w:col w:w="10400"/>
          </w:cols>
          <w:pgMar w:left="760" w:top="233" w:right="739" w:bottom="1440" w:gutter="0" w:footer="0" w:header="0"/>
          <w:type w:val="continuous"/>
        </w:sectPr>
      </w:pP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(Zip code)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(805) 525-1245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184" w:lineRule="exact"/>
        <w:rPr>
          <w:sz w:val="24"/>
          <w:szCs w:val="24"/>
          <w:color w:val="auto"/>
        </w:rPr>
      </w:pPr>
    </w:p>
    <w:p>
      <w:pPr>
        <w:jc w:val="both"/>
        <w:ind w:right="60"/>
        <w:spacing w:after="0" w:line="26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tabs>
          <w:tab w:leader="none" w:pos="5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7" w:lineRule="exact"/>
        <w:rPr>
          <w:sz w:val="24"/>
          <w:szCs w:val="24"/>
          <w:color w:val="auto"/>
        </w:rPr>
      </w:pPr>
    </w:p>
    <w:p>
      <w:pPr>
        <w:jc w:val="both"/>
        <w:ind w:right="1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0400"/>
          </w:cols>
          <w:pgMar w:left="760" w:top="233" w:right="739" w:bottom="1440" w:gutter="0" w:footer="0" w:header="0"/>
          <w:type w:val="continuous"/>
        </w:sectPr>
      </w:pPr>
    </w:p>
    <w:p>
      <w:pPr>
        <w:spacing w:after="0" w:line="154" w:lineRule="exact"/>
        <w:rPr>
          <w:sz w:val="24"/>
          <w:szCs w:val="24"/>
          <w:color w:val="auto"/>
        </w:rPr>
      </w:pPr>
    </w:p>
    <w:p>
      <w:pPr>
        <w:ind w:right="840"/>
        <w:spacing w:after="0" w:line="229"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300" w:hanging="474"/>
        <w:spacing w:after="0" w:line="22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 xml:space="preserve"> </w:t>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77" w:lineRule="exact"/>
        <w:rPr>
          <w:sz w:val="24"/>
          <w:szCs w:val="24"/>
          <w:color w:val="auto"/>
        </w:rPr>
      </w:pPr>
    </w:p>
    <w:p>
      <w:pPr>
        <w:sectPr>
          <w:pgSz w:w="11900" w:h="16838" w:orient="portrait"/>
          <w:cols w:equalWidth="0" w:num="3">
            <w:col w:w="2780" w:space="720"/>
            <w:col w:w="3660" w:space="720"/>
            <w:col w:w="2520"/>
          </w:cols>
          <w:pgMar w:left="760" w:top="233" w:right="739" w:bottom="1440" w:gutter="0" w:footer="0" w:header="0"/>
          <w:type w:val="continuous"/>
        </w:sectPr>
      </w:pPr>
    </w:p>
    <w:p>
      <w:pPr>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Registrant's number of shares of common stock outstanding as of April 30, 2018 was 17,567,616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215265</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498475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66122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Quarterly Report on Form 10-Q, including “Management’s Discussion and Analysis of Financial Condition and Results of Operations” in Item 2, contains forward-looking statements that involve risks, uncertainties and assumptions. If the risks or uncertainties ever materialize or the assumptions prove incorrect, the results of Calavo Growers, Inc. and its consolidated subsidiaries (Calavo, the Company, we, us or our)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earnings, earnings per share, tax provisions, cash flows, currency exchange rates, the impact of acquisitions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any statements regarding pending investigations, legal claims or tax disputes; any statements of expectation or belief;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and other risks that are described herein, including, but not limited to, the items discussed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October 31, 2017, and those detailed from time to time in our other filings with the Securities and Exchange Commission. Calavo assumes no obligation and does not intend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w:t>
      </w:r>
    </w:p>
    <w:p>
      <w:pPr>
        <w:spacing w:after="0" w:line="2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gridSpan w:val="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85"/>
        </w:trPr>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Condensed Balance Sheets – April 30, 2018 and October 31, 2017</w:t>
              </w:r>
            </w:hyperlink>
          </w:p>
        </w:tc>
        <w:tc>
          <w:tcPr>
            <w:tcW w:w="276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tcBorders>
              <w:bottom w:val="single" w:sz="8" w:color="0000EE"/>
            </w:tcBorders>
            <w:gridSpan w:val="12"/>
          </w:tcPr>
          <w:p>
            <w:pPr>
              <w:spacing w:after="0"/>
              <w:rPr>
                <w:rFonts w:ascii="Arial" w:cs="Arial" w:eastAsia="Arial" w:hAnsi="Arial"/>
                <w:sz w:val="16"/>
                <w:szCs w:val="16"/>
                <w:color w:val="0000EE"/>
                <w:w w:val="91"/>
              </w:rPr>
            </w:pPr>
            <w:hyperlink w:anchor="page5">
              <w:r>
                <w:rPr>
                  <w:rFonts w:ascii="Arial" w:cs="Arial" w:eastAsia="Arial" w:hAnsi="Arial"/>
                  <w:sz w:val="16"/>
                  <w:szCs w:val="16"/>
                  <w:color w:val="0000EE"/>
                  <w:w w:val="91"/>
                </w:rPr>
                <w:t>Consolidated Condensed Statements of Income – Three Months and Six Months Ended April 30, 2018 and 2017</w:t>
              </w:r>
            </w:hyperlink>
          </w:p>
        </w:tc>
        <w:tc>
          <w:tcPr>
            <w:tcW w:w="66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tcBorders>
              <w:bottom w:val="single" w:sz="8" w:color="0000EE"/>
            </w:tcBorders>
            <w:gridSpan w:val="14"/>
          </w:tcPr>
          <w:p>
            <w:pPr>
              <w:spacing w:after="0"/>
              <w:rPr>
                <w:rFonts w:ascii="Arial" w:cs="Arial" w:eastAsia="Arial" w:hAnsi="Arial"/>
                <w:sz w:val="16"/>
                <w:szCs w:val="16"/>
                <w:color w:val="0000EE"/>
                <w:w w:val="91"/>
              </w:rPr>
            </w:pPr>
            <w:hyperlink w:anchor="page6">
              <w:r>
                <w:rPr>
                  <w:rFonts w:ascii="Arial" w:cs="Arial" w:eastAsia="Arial" w:hAnsi="Arial"/>
                  <w:sz w:val="16"/>
                  <w:szCs w:val="16"/>
                  <w:color w:val="0000EE"/>
                  <w:w w:val="91"/>
                </w:rPr>
                <w:t>Consolidated Condensed Statements of Comprehensive Income – Three Months and Six Months Ended April 30, 2018</w:t>
              </w:r>
            </w:hyperlink>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0000EE"/>
            </w:tcBorders>
            <w:gridSpan w:val="2"/>
          </w:tcPr>
          <w:p>
            <w:pPr>
              <w:spacing w:after="0" w:line="183" w:lineRule="exact"/>
              <w:rPr>
                <w:rFonts w:ascii="Arial" w:cs="Arial" w:eastAsia="Arial" w:hAnsi="Arial"/>
                <w:sz w:val="16"/>
                <w:szCs w:val="16"/>
                <w:color w:val="0000EE"/>
                <w:w w:val="83"/>
              </w:rPr>
            </w:pPr>
            <w:hyperlink w:anchor="page6">
              <w:r>
                <w:rPr>
                  <w:rFonts w:ascii="Arial" w:cs="Arial" w:eastAsia="Arial" w:hAnsi="Arial"/>
                  <w:sz w:val="16"/>
                  <w:szCs w:val="16"/>
                  <w:color w:val="0000EE"/>
                  <w:w w:val="83"/>
                </w:rPr>
                <w:t>and 2017</w:t>
              </w:r>
            </w:hyperlink>
          </w:p>
        </w:tc>
        <w:tc>
          <w:tcPr>
            <w:tcW w:w="7360" w:type="dxa"/>
            <w:vAlign w:val="bottom"/>
            <w:gridSpan w:val="13"/>
          </w:tcPr>
          <w:p>
            <w:pPr>
              <w:spacing w:after="0"/>
              <w:rPr>
                <w:sz w:val="15"/>
                <w:szCs w:val="15"/>
                <w:color w:val="auto"/>
              </w:rPr>
            </w:pPr>
          </w:p>
        </w:tc>
        <w:tc>
          <w:tcPr>
            <w:tcW w:w="42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40" w:type="dxa"/>
            <w:vAlign w:val="bottom"/>
            <w:gridSpan w:val="15"/>
          </w:tcPr>
          <w:p>
            <w:pPr>
              <w:spacing w:after="0"/>
              <w:rPr>
                <w:rFonts w:ascii="Arial" w:cs="Arial" w:eastAsia="Arial" w:hAnsi="Arial"/>
                <w:sz w:val="16"/>
                <w:szCs w:val="16"/>
                <w:color w:val="0000EE"/>
                <w:w w:val="95"/>
              </w:rPr>
            </w:pPr>
            <w:hyperlink w:anchor="page7">
              <w:r>
                <w:rPr>
                  <w:rFonts w:ascii="Arial" w:cs="Arial" w:eastAsia="Arial" w:hAnsi="Arial"/>
                  <w:sz w:val="16"/>
                  <w:szCs w:val="16"/>
                  <w:color w:val="0000EE"/>
                  <w:w w:val="95"/>
                </w:rPr>
                <w:t>Consolidated Condensed Statements of Cash Flows – Three Months and Six Months Ended April 30, 2018 and 2017</w:t>
              </w:r>
            </w:hyperlink>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Notes to Consolidated Condensed Financial Statements</w:t>
              </w:r>
            </w:hyperlink>
          </w:p>
        </w:tc>
        <w:tc>
          <w:tcPr>
            <w:tcW w:w="3960" w:type="dxa"/>
            <w:vAlign w:val="bottom"/>
            <w:tcBorders>
              <w:top w:val="single" w:sz="8" w:color="0000EE"/>
            </w:tcBorders>
            <w:gridSpan w:val="5"/>
          </w:tcPr>
          <w:p>
            <w:pPr>
              <w:spacing w:after="0"/>
              <w:rPr>
                <w:sz w:val="24"/>
                <w:szCs w:val="24"/>
                <w:color w:val="auto"/>
              </w:rPr>
            </w:pPr>
          </w:p>
        </w:tc>
        <w:tc>
          <w:tcPr>
            <w:tcW w:w="40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1">
              <w:r>
                <w:rPr>
                  <w:rFonts w:ascii="Arial" w:cs="Arial" w:eastAsia="Arial" w:hAnsi="Arial"/>
                  <w:sz w:val="16"/>
                  <w:szCs w:val="16"/>
                  <w:color w:val="0000EE"/>
                  <w:w w:val="93"/>
                </w:rPr>
                <w:t>Item 2.</w:t>
              </w:r>
            </w:hyperlink>
          </w:p>
        </w:tc>
        <w:tc>
          <w:tcPr>
            <w:tcW w:w="220" w:type="dxa"/>
            <w:vAlign w:val="bottom"/>
            <w:gridSpan w:val="2"/>
          </w:tcPr>
          <w:p>
            <w:pPr>
              <w:spacing w:after="0"/>
              <w:rPr>
                <w:sz w:val="24"/>
                <w:szCs w:val="24"/>
                <w:color w:val="auto"/>
              </w:rPr>
            </w:pPr>
          </w:p>
        </w:tc>
        <w:tc>
          <w:tcPr>
            <w:tcW w:w="7940" w:type="dxa"/>
            <w:vAlign w:val="bottom"/>
            <w:gridSpan w:val="15"/>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9">
              <w:r>
                <w:rPr>
                  <w:rFonts w:ascii="Arial" w:cs="Arial" w:eastAsia="Arial" w:hAnsi="Arial"/>
                  <w:sz w:val="16"/>
                  <w:szCs w:val="16"/>
                  <w:color w:val="0000EE"/>
                  <w:w w:val="93"/>
                </w:rPr>
                <w:t>Item 3.</w:t>
              </w:r>
            </w:hyperlink>
          </w:p>
        </w:tc>
        <w:tc>
          <w:tcPr>
            <w:tcW w:w="220" w:type="dxa"/>
            <w:vAlign w:val="bottom"/>
            <w:gridSpan w:val="2"/>
          </w:tcPr>
          <w:p>
            <w:pPr>
              <w:spacing w:after="0"/>
              <w:rPr>
                <w:sz w:val="24"/>
                <w:szCs w:val="24"/>
                <w:color w:val="auto"/>
              </w:rPr>
            </w:pPr>
          </w:p>
        </w:tc>
        <w:tc>
          <w:tcPr>
            <w:tcW w:w="7940" w:type="dxa"/>
            <w:vAlign w:val="bottom"/>
            <w:gridSpan w:val="15"/>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9">
              <w:r>
                <w:rPr>
                  <w:rFonts w:ascii="Arial" w:cs="Arial" w:eastAsia="Arial" w:hAnsi="Arial"/>
                  <w:sz w:val="16"/>
                  <w:szCs w:val="16"/>
                  <w:color w:val="0000EE"/>
                  <w:w w:val="93"/>
                </w:rPr>
                <w:t>Item 4.</w:t>
              </w:r>
            </w:hyperlink>
          </w:p>
        </w:tc>
        <w:tc>
          <w:tcPr>
            <w:tcW w:w="220" w:type="dxa"/>
            <w:vAlign w:val="bottom"/>
            <w:gridSpan w:val="2"/>
          </w:tcPr>
          <w:p>
            <w:pPr>
              <w:spacing w:after="0"/>
              <w:rPr>
                <w:sz w:val="24"/>
                <w:szCs w:val="24"/>
                <w:color w:val="auto"/>
              </w:rPr>
            </w:pPr>
          </w:p>
        </w:tc>
        <w:tc>
          <w:tcPr>
            <w:tcW w:w="7940" w:type="dxa"/>
            <w:vAlign w:val="bottom"/>
            <w:gridSpan w:val="15"/>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1"/>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PART II. OTHER INFORMATION</w:t>
              </w:r>
            </w:hyperlink>
          </w:p>
        </w:tc>
        <w:tc>
          <w:tcPr>
            <w:tcW w:w="614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9">
              <w:r>
                <w:rPr>
                  <w:rFonts w:ascii="Arial" w:cs="Arial" w:eastAsia="Arial" w:hAnsi="Arial"/>
                  <w:sz w:val="16"/>
                  <w:szCs w:val="16"/>
                  <w:color w:val="0000EE"/>
                  <w:w w:val="93"/>
                </w:rPr>
                <w:t>Item 1.</w:t>
              </w:r>
            </w:hyperlink>
          </w:p>
        </w:tc>
        <w:tc>
          <w:tcPr>
            <w:tcW w:w="220" w:type="dxa"/>
            <w:vAlign w:val="bottom"/>
            <w:gridSpan w:val="2"/>
          </w:tcPr>
          <w:p>
            <w:pPr>
              <w:spacing w:after="0"/>
              <w:rPr>
                <w:sz w:val="24"/>
                <w:szCs w:val="24"/>
                <w:color w:val="auto"/>
              </w:rPr>
            </w:pPr>
          </w:p>
        </w:tc>
        <w:tc>
          <w:tcPr>
            <w:tcW w:w="7940" w:type="dxa"/>
            <w:vAlign w:val="bottom"/>
            <w:gridSpan w:val="15"/>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Arial" w:cs="Arial" w:eastAsia="Arial" w:hAnsi="Arial"/>
                <w:sz w:val="16"/>
                <w:szCs w:val="16"/>
                <w:color w:val="0000EE"/>
                <w:w w:val="93"/>
              </w:rPr>
            </w:pPr>
            <w:hyperlink w:anchor="page30">
              <w:r>
                <w:rPr>
                  <w:rFonts w:ascii="Arial" w:cs="Arial" w:eastAsia="Arial" w:hAnsi="Arial"/>
                  <w:sz w:val="16"/>
                  <w:szCs w:val="16"/>
                  <w:color w:val="0000EE"/>
                  <w:w w:val="93"/>
                </w:rPr>
                <w:t>Item 1A.</w:t>
              </w:r>
            </w:hyperlink>
          </w:p>
        </w:tc>
        <w:tc>
          <w:tcPr>
            <w:tcW w:w="120" w:type="dxa"/>
            <w:vAlign w:val="bottom"/>
          </w:tcPr>
          <w:p>
            <w:pPr>
              <w:spacing w:after="0"/>
              <w:rPr>
                <w:sz w:val="24"/>
                <w:szCs w:val="24"/>
                <w:color w:val="auto"/>
              </w:rPr>
            </w:pPr>
          </w:p>
        </w:tc>
        <w:tc>
          <w:tcPr>
            <w:tcW w:w="7940" w:type="dxa"/>
            <w:vAlign w:val="bottom"/>
            <w:gridSpan w:val="15"/>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Item 6.</w:t>
              </w:r>
            </w:hyperlink>
          </w:p>
        </w:tc>
        <w:tc>
          <w:tcPr>
            <w:tcW w:w="120" w:type="dxa"/>
            <w:vAlign w:val="bottom"/>
          </w:tcPr>
          <w:p>
            <w:pPr>
              <w:spacing w:after="0"/>
              <w:rPr>
                <w:sz w:val="24"/>
                <w:szCs w:val="24"/>
                <w:color w:val="auto"/>
              </w:rPr>
            </w:pPr>
          </w:p>
        </w:tc>
        <w:tc>
          <w:tcPr>
            <w:tcW w:w="7940" w:type="dxa"/>
            <w:vAlign w:val="bottom"/>
            <w:gridSpan w:val="15"/>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Exhibits</w:t>
              </w:r>
            </w:hyperlink>
          </w:p>
        </w:tc>
        <w:tc>
          <w:tcPr>
            <w:tcW w:w="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80" w:type="dxa"/>
            <w:vAlign w:val="bottom"/>
            <w:gridSpan w:val="1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40" w:type="dxa"/>
            <w:vAlign w:val="bottom"/>
            <w:gridSpan w:val="15"/>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4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assets: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1"/>
              </w:rPr>
              <w:t>Accounts receivable, net of allowances of $3,234 (2018)</w:t>
            </w:r>
          </w:p>
        </w:tc>
        <w:tc>
          <w:tcPr>
            <w:tcW w:w="2460" w:type="dxa"/>
            <w:vAlign w:val="bottom"/>
          </w:tcPr>
          <w:p>
            <w:pPr>
              <w:jc w:val="right"/>
              <w:ind w:right="1330"/>
              <w:spacing w:after="0"/>
              <w:rPr>
                <w:sz w:val="20"/>
                <w:szCs w:val="20"/>
                <w:color w:val="auto"/>
              </w:rPr>
            </w:pPr>
            <w:r>
              <w:rPr>
                <w:rFonts w:ascii="Arial" w:cs="Arial" w:eastAsia="Arial" w:hAnsi="Arial"/>
                <w:sz w:val="18"/>
                <w:szCs w:val="18"/>
                <w:color w:val="auto"/>
                <w:w w:val="90"/>
              </w:rPr>
              <w:t>$2,490 (2017)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76,925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69,750</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30,858</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6,872</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suppliers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Income taxes receivable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1,377</w:t>
            </w:r>
          </w:p>
        </w:tc>
        <w:tc>
          <w:tcPr>
            <w:tcW w:w="260" w:type="dxa"/>
            <w:vAlign w:val="bottom"/>
          </w:tcPr>
          <w:p>
            <w:pPr>
              <w:spacing w:after="0"/>
              <w:rPr>
                <w:sz w:val="18"/>
                <w:szCs w:val="18"/>
                <w:color w:val="auto"/>
              </w:rPr>
            </w:pPr>
          </w:p>
        </w:tc>
      </w:tr>
      <w:tr>
        <w:trPr>
          <w:trHeight w:val="210"/>
        </w:trPr>
        <w:tc>
          <w:tcPr>
            <w:tcW w:w="4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128,205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119,828</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121,803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120,072</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40,362</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33,019</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260" w:type="dxa"/>
            <w:vAlign w:val="bottom"/>
            <w:shd w:val="clear" w:color="auto" w:fill="CCEEFF"/>
          </w:tcPr>
          <w:p>
            <w:pPr>
              <w:spacing w:after="0"/>
              <w:rPr>
                <w:sz w:val="18"/>
                <w:szCs w:val="18"/>
                <w:color w:val="auto"/>
              </w:rPr>
            </w:pPr>
          </w:p>
        </w:tc>
      </w:tr>
      <w:tr>
        <w:trPr>
          <w:trHeight w:val="217"/>
        </w:trPr>
        <w:tc>
          <w:tcPr>
            <w:tcW w:w="432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374,779</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364,117</w:t>
            </w:r>
          </w:p>
        </w:tc>
        <w:tc>
          <w:tcPr>
            <w:tcW w:w="260" w:type="dxa"/>
            <w:vAlign w:val="bottom"/>
            <w:tcBorders>
              <w:bottom w:val="single" w:sz="8" w:color="CCEEFF"/>
            </w:tcBorders>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growers</w:t>
            </w:r>
          </w:p>
        </w:tc>
        <w:tc>
          <w:tcPr>
            <w:tcW w:w="2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16,524</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22,911</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Dividend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16,657</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obligations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r>
      <w:tr>
        <w:trPr>
          <w:trHeight w:val="210"/>
        </w:trPr>
        <w:tc>
          <w:tcPr>
            <w:tcW w:w="43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103,546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116,167</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Long-term obligations, less current portion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r>
      <w:tr>
        <w:trPr>
          <w:trHeight w:val="210"/>
        </w:trPr>
        <w:tc>
          <w:tcPr>
            <w:tcW w:w="4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2"/>
        </w:trPr>
        <w:tc>
          <w:tcPr>
            <w:tcW w:w="67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2"/>
              </w:rPr>
              <w:t>Common stock ($0.001 par value, 100,000 shares authorized; 17,568 (2018) and 17,533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(2017) shares issued and outstanding)</w:t>
            </w: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156,069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154,243</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10,434</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99,672</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78,411</w:t>
            </w:r>
          </w:p>
        </w:tc>
        <w:tc>
          <w:tcPr>
            <w:tcW w:w="26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268,144</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244,122</w:t>
            </w:r>
          </w:p>
        </w:tc>
        <w:tc>
          <w:tcPr>
            <w:tcW w:w="260" w:type="dxa"/>
            <w:vAlign w:val="bottom"/>
            <w:shd w:val="clear" w:color="auto" w:fill="CCEEFF"/>
          </w:tcPr>
          <w:p>
            <w:pPr>
              <w:spacing w:after="0"/>
              <w:rPr>
                <w:sz w:val="18"/>
                <w:szCs w:val="18"/>
                <w:color w:val="auto"/>
              </w:rPr>
            </w:pPr>
          </w:p>
        </w:tc>
      </w:tr>
      <w:tr>
        <w:trPr>
          <w:trHeight w:val="217"/>
        </w:trPr>
        <w:tc>
          <w:tcPr>
            <w:tcW w:w="4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374,779</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364,117</w:t>
            </w:r>
          </w:p>
        </w:tc>
        <w:tc>
          <w:tcPr>
            <w:tcW w:w="260" w:type="dxa"/>
            <w:vAlign w:val="bottom"/>
          </w:tcPr>
          <w:p>
            <w:pPr>
              <w:spacing w:after="0"/>
              <w:rPr>
                <w:sz w:val="18"/>
                <w:szCs w:val="18"/>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264,405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270,162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512,333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496,716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232,436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233,909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454,054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438,539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Net income attributable to Calavo Growers, Inc.</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14,122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12,945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21,261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Calavo Growers, Inc.’s net income per share: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Diluted</w:t>
            </w:r>
          </w:p>
        </w:tc>
        <w:tc>
          <w:tcPr>
            <w:tcW w:w="6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0.80</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0.74</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Number of shares used in per share computation: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17,426</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200"/>
              <w:spacing w:after="0" w:line="203" w:lineRule="exact"/>
              <w:rPr>
                <w:sz w:val="20"/>
                <w:szCs w:val="20"/>
                <w:color w:val="auto"/>
              </w:rPr>
            </w:pPr>
            <w:r>
              <w:rPr>
                <w:rFonts w:ascii="Arial" w:cs="Arial" w:eastAsia="Arial" w:hAnsi="Arial"/>
                <w:sz w:val="18"/>
                <w:szCs w:val="18"/>
                <w:color w:val="auto"/>
              </w:rPr>
              <w:t>Diluted</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17,580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17,539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17,561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CONSOLIDATED CONDENSED STATEMENTS OF COMPREHENSIVE INCOME (UNAUDITED)</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7"/>
              </w:rPr>
              <w:t>April 30,</w:t>
            </w:r>
          </w:p>
        </w:tc>
      </w:tr>
      <w:tr>
        <w:trPr>
          <w:trHeight w:val="142"/>
        </w:trPr>
        <w:tc>
          <w:tcPr>
            <w:tcW w:w="5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$ 14,016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$ 12,934</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$ 21,005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$ 18,155</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investment gains (losses)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w w:val="93"/>
              </w:rPr>
              <w:t>Income tax (expense) benefit related to items of other comprehensive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16,228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16,973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19,241</w:t>
            </w:r>
          </w:p>
        </w:tc>
        <w:tc>
          <w:tcPr>
            <w:tcW w:w="60" w:type="dxa"/>
            <w:vAlign w:val="bottom"/>
          </w:tcPr>
          <w:p>
            <w:pPr>
              <w:spacing w:after="0"/>
              <w:rPr>
                <w:sz w:val="18"/>
                <w:szCs w:val="18"/>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loss attributable to noncontrolling interest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r>
      <w:tr>
        <w:trPr>
          <w:trHeight w:val="217"/>
        </w:trPr>
        <w:tc>
          <w:tcPr>
            <w:tcW w:w="5880" w:type="dxa"/>
            <w:vAlign w:val="bottom"/>
          </w:tcPr>
          <w:p>
            <w:pPr>
              <w:spacing w:after="0"/>
              <w:rPr>
                <w:sz w:val="20"/>
                <w:szCs w:val="20"/>
                <w:color w:val="auto"/>
              </w:rPr>
            </w:pPr>
            <w:r>
              <w:rPr>
                <w:rFonts w:ascii="Arial" w:cs="Arial" w:eastAsia="Arial" w:hAnsi="Arial"/>
                <w:sz w:val="18"/>
                <w:szCs w:val="18"/>
                <w:color w:val="auto"/>
              </w:rPr>
              <w:t>Comprehensive income – Calavo Growers, Inc.</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$ 16,334</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$ 16,984</w:t>
            </w: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$ 21,451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$ 19,280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560"/>
          </w:cols>
          <w:pgMar w:left="1420" w:top="125" w:right="9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21,005</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losses/recoveries on accounts receivable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Loss (income) from unconsolidated entities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Effect on cash of changes in operating assets and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(26,293)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suppliers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Income taxes receivable/payable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Payable to growers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Trade accounts payable, accrued expenses and other long-term liabilities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and deposits on property, plant, and equipment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Proceeds received for repayment of San Rafael note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FreshRealm</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(38,502)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Payment of dividend to shareholders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(16,657)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(15,696)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revolving credit facility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Payments on revolving credit facility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 of minimum withholding taxes on net share settlement of equity awards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Purchase of noncontrolling interest of Salsa Lisa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obligations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stock option exercises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2"/>
              </w:rPr>
              <w:t>Property, plant, and equipment included in trade accounts payable and accrued expenses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transfer of noncontrolling interest</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line="203" w:lineRule="exact"/>
              <w:rPr>
                <w:sz w:val="20"/>
                <w:szCs w:val="20"/>
                <w:color w:val="auto"/>
              </w:rPr>
            </w:pPr>
            <w:r>
              <w:rPr>
                <w:rFonts w:ascii="Arial" w:cs="Arial" w:eastAsia="Arial" w:hAnsi="Arial"/>
                <w:sz w:val="18"/>
                <w:szCs w:val="18"/>
                <w:color w:val="auto"/>
              </w:rPr>
              <w:t>Unrealized investment gain (losses)</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60" w:firstLine="259"/>
        <w:spacing w:after="0" w:line="289"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an expanding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guacamole and salsa and (iii) create, process and package a portfolio of healthy fresh foods including fresh-cut fruit, fresh-cut vegetables, and prepared foods. We distribute our products both domestically and internationally and report our operations in three different business segments: Fresh products, Calavo Foods and Renaissance Food Group (RFG).</w:t>
      </w:r>
    </w:p>
    <w:p>
      <w:pPr>
        <w:spacing w:after="0" w:line="167"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of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60" w:firstLine="259"/>
        <w:spacing w:after="0" w:line="297" w:lineRule="auto"/>
        <w:rPr>
          <w:sz w:val="20"/>
          <w:szCs w:val="20"/>
          <w:color w:val="auto"/>
        </w:rPr>
      </w:pPr>
      <w:r>
        <w:rPr>
          <w:rFonts w:ascii="Arial" w:cs="Arial" w:eastAsia="Arial" w:hAnsi="Arial"/>
          <w:sz w:val="16"/>
          <w:szCs w:val="16"/>
          <w:color w:val="auto"/>
        </w:rPr>
        <w:t xml:space="preserve">In May 2017, the FASB issued an ASU, </w:t>
      </w:r>
      <w:r>
        <w:rPr>
          <w:rFonts w:ascii="Arial" w:cs="Arial" w:eastAsia="Arial" w:hAnsi="Arial"/>
          <w:sz w:val="16"/>
          <w:szCs w:val="16"/>
          <w:i w:val="1"/>
          <w:iCs w:val="1"/>
          <w:color w:val="auto"/>
        </w:rPr>
        <w:t>Stock Compensation (Topic 718), Scope of Modification Accounting</w:t>
      </w:r>
      <w:r>
        <w:rPr>
          <w:rFonts w:ascii="Arial" w:cs="Arial" w:eastAsia="Arial" w:hAnsi="Arial"/>
          <w:sz w:val="16"/>
          <w:szCs w:val="16"/>
          <w:color w:val="auto"/>
        </w:rPr>
        <w:t>. This ASU clarifies when changes to the terms or conditions of a share-based payment award must be accounted for as modifications. The guidance clarifies that modification accounting will be applied if the value, vesting conditions or classification of the award changes. The Company adopted this new standard beginning in the three months ended January 31, 2018. The adoption of the amendment did not have a material impact on the Company’s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340" w:firstLine="259"/>
        <w:spacing w:after="0" w:line="291" w:lineRule="auto"/>
        <w:rPr>
          <w:sz w:val="20"/>
          <w:szCs w:val="20"/>
          <w:color w:val="auto"/>
        </w:rPr>
      </w:pPr>
      <w:r>
        <w:rPr>
          <w:rFonts w:ascii="Arial" w:cs="Arial" w:eastAsia="Arial" w:hAnsi="Arial"/>
          <w:sz w:val="16"/>
          <w:szCs w:val="16"/>
          <w:color w:val="auto"/>
        </w:rPr>
        <w:t xml:space="preserve">In February 2017, the FASB issued an ASU, </w:t>
      </w:r>
      <w:r>
        <w:rPr>
          <w:rFonts w:ascii="Arial" w:cs="Arial" w:eastAsia="Arial" w:hAnsi="Arial"/>
          <w:sz w:val="16"/>
          <w:szCs w:val="16"/>
          <w:i w:val="1"/>
          <w:iCs w:val="1"/>
          <w:color w:val="auto"/>
        </w:rPr>
        <w:t>Other Income-Gains and Losses from the Derecognition of Nonfinancial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Clarifying the Scope of Asset Derecognition Guidance and Accounting for Partial Sales of Nonfinancial</w:t>
      </w:r>
    </w:p>
    <w:p>
      <w:pPr>
        <w:spacing w:after="0" w:line="254" w:lineRule="auto"/>
        <w:rPr>
          <w:sz w:val="20"/>
          <w:szCs w:val="20"/>
          <w:color w:val="auto"/>
        </w:rPr>
      </w:pPr>
      <w:r>
        <w:rPr>
          <w:rFonts w:ascii="Arial" w:cs="Arial" w:eastAsia="Arial" w:hAnsi="Arial"/>
          <w:sz w:val="18"/>
          <w:szCs w:val="18"/>
          <w:i w:val="1"/>
          <w:iCs w:val="1"/>
          <w:color w:val="auto"/>
        </w:rPr>
        <w:t xml:space="preserve">Assets, </w:t>
      </w:r>
      <w:r>
        <w:rPr>
          <w:rFonts w:ascii="Arial" w:cs="Arial" w:eastAsia="Arial" w:hAnsi="Arial"/>
          <w:sz w:val="18"/>
          <w:szCs w:val="18"/>
          <w:color w:val="auto"/>
        </w:rPr>
        <w:t>which clarifies the scope of asset derecognition and adds further guidance for recognizing gains and losses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nonfinancial assets in contracts with non-customers. This ASU will be effective for us beginning the first day of our 2019 fiscal year. Early adoption is permitted. We do not expect this ASU to have an impact until an applicable transaction takes place.</w:t>
      </w:r>
    </w:p>
    <w:p>
      <w:pPr>
        <w:spacing w:after="0" w:line="190" w:lineRule="exact"/>
        <w:rPr>
          <w:sz w:val="20"/>
          <w:szCs w:val="20"/>
          <w:color w:val="auto"/>
        </w:rPr>
      </w:pPr>
    </w:p>
    <w:p>
      <w:pPr>
        <w:ind w:right="180" w:firstLine="259"/>
        <w:spacing w:after="0" w:line="279" w:lineRule="auto"/>
        <w:rPr>
          <w:sz w:val="20"/>
          <w:szCs w:val="20"/>
          <w:color w:val="auto"/>
        </w:rPr>
      </w:pPr>
      <w:r>
        <w:rPr>
          <w:rFonts w:ascii="Arial" w:cs="Arial" w:eastAsia="Arial" w:hAnsi="Arial"/>
          <w:sz w:val="17"/>
          <w:szCs w:val="17"/>
          <w:color w:val="auto"/>
        </w:rPr>
        <w:t xml:space="preserve">In January 2017, the FASB issued an ASU, </w:t>
      </w:r>
      <w:r>
        <w:rPr>
          <w:rFonts w:ascii="Arial" w:cs="Arial" w:eastAsia="Arial" w:hAnsi="Arial"/>
          <w:sz w:val="17"/>
          <w:szCs w:val="17"/>
          <w:i w:val="1"/>
          <w:iCs w:val="1"/>
          <w:color w:val="auto"/>
        </w:rPr>
        <w:t>Business Combinations: Clarifying the Definition of a Business,</w:t>
      </w:r>
      <w:r>
        <w:rPr>
          <w:rFonts w:ascii="Arial" w:cs="Arial" w:eastAsia="Arial" w:hAnsi="Arial"/>
          <w:sz w:val="17"/>
          <w:szCs w:val="17"/>
          <w:color w:val="auto"/>
        </w:rPr>
        <w:t xml:space="preserve"> which adds guidance to assist entities with evaluating whether transactions should be accounted for as acquisitions (or disposals) of assets or businesses. This ASU will be effective for us beginning the first day of our 2019 fiscal year. Early adoption is permitted. We do not expect this ASU to have an impact until an applicable transaction takes place.</w:t>
      </w:r>
    </w:p>
    <w:p>
      <w:pPr>
        <w:spacing w:after="0" w:line="171" w:lineRule="exact"/>
        <w:rPr>
          <w:sz w:val="20"/>
          <w:szCs w:val="20"/>
          <w:color w:val="auto"/>
        </w:rPr>
      </w:pPr>
    </w:p>
    <w:p>
      <w:pPr>
        <w:ind w:right="340" w:firstLine="259"/>
        <w:spacing w:after="0" w:line="342" w:lineRule="auto"/>
        <w:rPr>
          <w:sz w:val="20"/>
          <w:szCs w:val="20"/>
          <w:color w:val="auto"/>
        </w:rPr>
      </w:pPr>
      <w:r>
        <w:rPr>
          <w:rFonts w:ascii="Arial" w:cs="Arial" w:eastAsia="Arial" w:hAnsi="Arial"/>
          <w:sz w:val="16"/>
          <w:szCs w:val="16"/>
          <w:color w:val="auto"/>
        </w:rPr>
        <w:t>In October 2016, the FASB issued an ASU, Intra-Entity Transfers of Assets Other Than Inventory, which will require companies to recognize the income tax effects of intra-entity sales and transfers of assets other than inventory,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particularly those asset transfers involving intellectual property, in the period in which the transfer occurs. The ASU will be effective for us beginning the first day of our 2019 fiscal year and is not expected to have a significant impact upon adoption.</w:t>
      </w:r>
    </w:p>
    <w:p>
      <w:pPr>
        <w:spacing w:after="0" w:line="12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 xml:space="preserve">In January 2017, the FASB issued an ASU,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9" w:lineRule="exact"/>
        <w:rPr>
          <w:sz w:val="20"/>
          <w:szCs w:val="20"/>
          <w:color w:val="auto"/>
        </w:rPr>
      </w:pPr>
    </w:p>
    <w:p>
      <w:pPr>
        <w:ind w:right="20" w:firstLine="259"/>
        <w:spacing w:after="0" w:line="288" w:lineRule="auto"/>
        <w:rPr>
          <w:sz w:val="20"/>
          <w:szCs w:val="20"/>
          <w:color w:val="auto"/>
        </w:rPr>
      </w:pPr>
      <w:r>
        <w:rPr>
          <w:rFonts w:ascii="Arial" w:cs="Arial" w:eastAsia="Arial" w:hAnsi="Arial"/>
          <w:sz w:val="16"/>
          <w:szCs w:val="16"/>
          <w:color w:val="auto"/>
        </w:rPr>
        <w:t xml:space="preserve">In February 2016, the FASB issued an ASU, </w:t>
      </w:r>
      <w:r>
        <w:rPr>
          <w:rFonts w:ascii="Arial" w:cs="Arial" w:eastAsia="Arial" w:hAnsi="Arial"/>
          <w:sz w:val="16"/>
          <w:szCs w:val="16"/>
          <w:i w:val="1"/>
          <w:iCs w:val="1"/>
          <w:color w:val="auto"/>
        </w:rPr>
        <w:t>Leases</w:t>
      </w:r>
      <w:r>
        <w:rPr>
          <w:rFonts w:ascii="Arial" w:cs="Arial" w:eastAsia="Arial" w:hAnsi="Arial"/>
          <w:sz w:val="16"/>
          <w:szCs w:val="16"/>
          <w:color w:val="auto"/>
        </w:rPr>
        <w:t>, which requires a dual approach for lessee accounting under which a lessee would account for leases as finance leases or operating leases. Both finance leases and operating leases will result in the lessee recognizing a right-of use asset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This ASU will be effective for us beginning the first day of our 2020 fiscal year. Early adoption is permitted. Although we are in the process of evaluating the impact of adoption of ASU 2016-02 on its consolidated financial statements, we currently expect the most significant changes will be related to the recognition of new right-of-use assets and lease liabilities on our consolidated balance sheet.</w:t>
      </w:r>
    </w:p>
    <w:p>
      <w:pPr>
        <w:spacing w:after="0" w:line="169"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In January 2016, the FASB issued an ASU, which requires equity investments (except those accounted for under the equity method of accounting) to be measured at fair value with changes in fair value recognized in net income. The guidance is effective for fiscal years and interim period within those fiscal years beginning after December 15, 2017. Early adoption is permitted. The impact of the adoption of this ASU on our consolidated statements of income depends on the net unrealized gain or loss on our equity investment. For the three months ended April 30, 2018 and 2017, the net unrealized gain on our equity investment was $3.0 million and $6.4 million. For the six months ended April 30, 2018, the net unrealized loss on our equity investment was $0.1 million. For the six months ended April 30, 2017, the net unrealized gain on our equity investment was $1.7 million.</w:t>
      </w:r>
    </w:p>
    <w:p>
      <w:pPr>
        <w:spacing w:after="0" w:line="179"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In May 2014, the FASB issued a comprehensive new revenue recognition standard which will supersede previous existing revenue recognition guidance. The standard is intended to clarify the principles of recognizing revenue and create common revenue recognition guidance between U.S. GAAP and International Financial Reporting Standards. The standard also requires expanded disclosures surrounding revenue recognition. During fiscal 2017, the FASB issued additional clarification guidance on the new revenue recognition standard which also included certain scope improvements and practical expedients. The standard (including clarification guidance issued) is effective for fiscal periods beginning after December 15, 2017, which will be our first quarter of fiscal 2019. We will adopt the new standard using the modified retrospective transition method, under which the cumulative effect of initially applying the new guidance is recognized as an adjustment to the opening balance of retained earnings on the first day of our 2019 fiscal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229"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all operations that involve the distribution of avocados and other fresh produce products. The Calavo Foods segment represents all operations related to the purchase, manufacturing, and distribution of prepared products, including guacamole and salsa. The RFG segment represents all operations related to the manufacturing and distribution of fresh-cut fruit, fresh-cut vegetables, vegetables and prepared foods. Selling, general and administrative expenses, as well as other non-operating income/expense items,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are evaluated by our Chief Executive Officer in the aggregate. We do not allocate assets, or specifically identify them to, our operating segments. Data in the following tables is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0"/>
          </w:tcPr>
          <w:p>
            <w:pPr>
              <w:jc w:val="right"/>
              <w:ind w:right="328"/>
              <w:spacing w:after="0"/>
              <w:rPr>
                <w:sz w:val="20"/>
                <w:szCs w:val="20"/>
                <w:color w:val="auto"/>
              </w:rPr>
            </w:pPr>
            <w:r>
              <w:rPr>
                <w:rFonts w:ascii="Arial" w:cs="Arial" w:eastAsia="Arial" w:hAnsi="Arial"/>
                <w:sz w:val="14"/>
                <w:szCs w:val="14"/>
                <w:b w:val="1"/>
                <w:bCs w:val="1"/>
                <w:color w:val="auto"/>
              </w:rPr>
              <w:t>Three months ended April 30, 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2"/>
          </w:tcPr>
          <w:p>
            <w:pPr>
              <w:jc w:val="right"/>
              <w:ind w:right="348"/>
              <w:spacing w:after="0"/>
              <w:rPr>
                <w:sz w:val="20"/>
                <w:szCs w:val="20"/>
                <w:color w:val="auto"/>
              </w:rPr>
            </w:pPr>
            <w:r>
              <w:rPr>
                <w:rFonts w:ascii="Arial" w:cs="Arial" w:eastAsia="Arial" w:hAnsi="Arial"/>
                <w:sz w:val="14"/>
                <w:szCs w:val="14"/>
                <w:b w:val="1"/>
                <w:bCs w:val="1"/>
                <w:color w:val="auto"/>
              </w:rPr>
              <w:t>Three months ended April 30, 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Fresh</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w w:val="91"/>
              </w:rPr>
              <w:t>Calavo</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RFG</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Fresh</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Calavo</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RFG</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w w:val="95"/>
              </w:rPr>
              <w:t>Foods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Foods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Avocados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127,743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4"/>
              </w:rPr>
              <w:t>127,743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142,933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142,933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Tomatoes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Papayas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2,852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2,852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fresh products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Prepared avocado products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25,235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25,235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19,265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19,265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Salsa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w w:val="96"/>
              </w:rPr>
              <w:t>Fresh-cut fruit &amp; vegetables and prepared foods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104,982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4"/>
              </w:rPr>
              <w:t>104,982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7"/>
              </w:rPr>
              <w:t>98,028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98,028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gross sales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138,627</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25,975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104,982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269,584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156,081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20,200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98,028</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274,309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Less sales incentives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(4,134)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inter-company eliminations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2" w:lineRule="exact"/>
              <w:rPr>
                <w:sz w:val="20"/>
                <w:szCs w:val="20"/>
                <w:color w:val="auto"/>
              </w:rPr>
            </w:pPr>
            <w:r>
              <w:rPr>
                <w:rFonts w:ascii="Arial" w:cs="Arial" w:eastAsia="Arial" w:hAnsi="Arial"/>
                <w:sz w:val="14"/>
                <w:szCs w:val="14"/>
                <w:color w:val="auto"/>
              </w:rPr>
              <w:t>Net sales</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137,935</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21,913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104,557</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264,405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155,623</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16,837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97,702</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270,162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Six months ended April 30, 2018</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Six months ended April 30, 2017</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Fresh</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w w:val="91"/>
              </w:rPr>
              <w:t>Calavo</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RFG</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Fresh</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Calavo</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RFG</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w w:val="95"/>
              </w:rPr>
              <w:t>Foods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Foods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Avocados</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236,672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0"/>
              </w:rPr>
              <w:t>236,672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247,665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0"/>
              </w:rPr>
              <w:t>247,665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Tomatoes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Papayas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5,657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5,657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fresh products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Prepared avocado products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47,038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47,038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38,515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38,515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Salsa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rPr>
              <w:t>Fresh-cut  fruit  &amp;  vegetables  and  prepared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gridSpan w:val="2"/>
          </w:tcPr>
          <w:p>
            <w:pPr>
              <w:spacing w:after="0"/>
              <w:rPr>
                <w:sz w:val="20"/>
                <w:szCs w:val="20"/>
                <w:color w:val="auto"/>
              </w:rPr>
            </w:pPr>
            <w:r>
              <w:rPr>
                <w:rFonts w:ascii="Arial" w:cs="Arial" w:eastAsia="Arial" w:hAnsi="Arial"/>
                <w:sz w:val="14"/>
                <w:szCs w:val="14"/>
                <w:color w:val="auto"/>
              </w:rPr>
              <w:t>foods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211,758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211,758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196,075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196,075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gross sales</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262,480</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48,643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211,758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522,881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268,544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40,548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196,075</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505,167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Less sales incentives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(8,236)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(5,506)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(666)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(6,705)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inter-company eliminations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line="142" w:lineRule="exact"/>
              <w:rPr>
                <w:sz w:val="20"/>
                <w:szCs w:val="20"/>
                <w:color w:val="auto"/>
              </w:rPr>
            </w:pPr>
            <w:r>
              <w:rPr>
                <w:rFonts w:ascii="Arial" w:cs="Arial" w:eastAsia="Arial" w:hAnsi="Arial"/>
                <w:sz w:val="14"/>
                <w:szCs w:val="14"/>
                <w:color w:val="auto"/>
              </w:rPr>
              <w:t>Net sales</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260,720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40,950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210,663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512,333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267,682</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33,625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195,409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496,716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5" w:right="12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Fresh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Calavo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RFG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products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Foods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Three months ended April 30, 2018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Net sales before intercompany eliminations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138,189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22,704</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104,557</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265,450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137,935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21,913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104,557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264,405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Cost of sales before intercompany eliminations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123,052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14,840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95,589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233,481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122,815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14,361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95,260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232,436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Three months ended April 30, 2017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Net sales before intercompany eliminations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155,825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17,395</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97,702</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270,922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155,623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16,837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97,702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270,162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Cost of sales before intercompany eliminations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131,985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11,634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91,050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234,669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131,826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11,237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90,846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233,909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72"/>
        </w:trPr>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Fresh</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Calavo</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RFG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products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Foods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Six months ended April 30, 2018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Net sales before intercompany eliminations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261,388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42,594</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210,663</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514,645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260,720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40,950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210,663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512,333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Cost of sales before intercompany eliminations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231,955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28,461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195,950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456,366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231,343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27,423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195,288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454,054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13,527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Six months ended April 30, 2017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Net sales before intercompany eliminations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268,011</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35,042</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195,409</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498,462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267,682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33,625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195,409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496,716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20"/>
              <w:spacing w:after="0"/>
              <w:rPr>
                <w:sz w:val="20"/>
                <w:szCs w:val="20"/>
                <w:color w:val="auto"/>
              </w:rPr>
            </w:pPr>
            <w:r>
              <w:rPr>
                <w:rFonts w:ascii="Arial" w:cs="Arial" w:eastAsia="Arial" w:hAnsi="Arial"/>
                <w:sz w:val="18"/>
                <w:szCs w:val="18"/>
                <w:color w:val="auto"/>
              </w:rPr>
              <w:t>Cost of sales before intercompany eliminations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236,294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23,924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180,067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440,285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eliminations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236,034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22,933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179,572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438,539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10,692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9" w:firstLine="259"/>
        <w:spacing w:after="0" w:line="276" w:lineRule="auto"/>
        <w:rPr>
          <w:sz w:val="20"/>
          <w:szCs w:val="20"/>
          <w:color w:val="auto"/>
        </w:rPr>
      </w:pPr>
      <w:r>
        <w:rPr>
          <w:rFonts w:ascii="Arial" w:cs="Arial" w:eastAsia="Arial" w:hAnsi="Arial"/>
          <w:sz w:val="17"/>
          <w:szCs w:val="17"/>
          <w:color w:val="auto"/>
        </w:rPr>
        <w:t>For the three months ended April 30, 2018 and 2017, inter-segment sales and cost of sales of $0.2 million between Fresh products and RFG were eliminated. For the six months ended April 30, 2018 and 2017, inter-segment sales and cost of sales of $0.6 million and $0.3 million between Fresh products and RFG were eliminated. For the three months ended April 30, 2018 and 2017, inter-segment sales and cost of sales of $0.8 million and $0.6 million between Calavo Foods and RFG were eliminated. For the six months ended April 30, 2018 and 2017, inter-segment sales and cost of</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sales of $1.6 million and $1.4 million between Calavo Foods and RFG were eliminated. For the six months ended April 30, 2018, inter-segment sales and cost of sales of $0.1 million between Fresh products and Calavo Foods were eliminated.</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Inventories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9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April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Inventories are stated at the lower of cost or net realizable value. We periodically review the value of items in inventory and record any necessary write downs of inventory based on our assessment of market conditions. No inventory reserve was considered necessary as of April 30, 2018. We recorded a write down of $0.4 million to adjust our fresh fruit inventory to the lower of cost or net realizable value as of October 31, 2017.</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Certain members of our Board of Directors market California avocados through Calavo pursuant to marketing agreements substantially similar to the marketing agreements that we enter into with other growers. During the three months ended April 30, 2018 and 2017, the aggregate amount of avocados procured from entities owned or controlled by members of our Board of Directors was $1.9 million and $4.7 million. During the six months ended April 30, 2018 and 2017, the aggregate amount of avocados procured from entities owned or controlled by members of our Board of Directors was $2.0 million and $5.2 million. Amounts payable to these Board members were $1.0 million as of April 30, 2018. We did not have any amounts payable to these Board members as of October 31, 2017.</w:t>
      </w:r>
    </w:p>
    <w:p>
      <w:pPr>
        <w:spacing w:after="0" w:line="178" w:lineRule="exact"/>
        <w:rPr>
          <w:sz w:val="20"/>
          <w:szCs w:val="20"/>
          <w:color w:val="auto"/>
        </w:rPr>
      </w:pPr>
    </w:p>
    <w:p>
      <w:pPr>
        <w:ind w:right="140" w:firstLine="259"/>
        <w:spacing w:after="0" w:line="273" w:lineRule="auto"/>
        <w:rPr>
          <w:sz w:val="20"/>
          <w:szCs w:val="20"/>
          <w:color w:val="auto"/>
        </w:rPr>
      </w:pPr>
      <w:r>
        <w:rPr>
          <w:rFonts w:ascii="Arial" w:cs="Arial" w:eastAsia="Arial" w:hAnsi="Arial"/>
          <w:sz w:val="17"/>
          <w:szCs w:val="17"/>
          <w:color w:val="auto"/>
        </w:rPr>
        <w:t>During the three months ended April 30, 2018 and 2017, we received $0.1 million as dividend income from Limoneira Company (Limoneira). During the six months ended April 30, 2018 and 2017, we received $0.2 million as dividend income from Limoneira. In addition, we lease office space from Limoneira and paid rental expenses of $0.1 million for each of the three and six months ended April 30, 2018 and 2017. Harold Edwards, who is a member of our Board of Directors, is the Chief Executive Officer of Limoneira Company. We have a 12% ownership interest in Limoneira. Additionally, our Chief Executive Officer is a member of the Limoneira Board of Directors.</w:t>
      </w:r>
    </w:p>
    <w:p>
      <w:pPr>
        <w:spacing w:after="0" w:line="178"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We currently have a member of our Board of Directors who also serves as a partner in the law firm of TroyGould PC, which frequently represents Calavo as legal counsel. During each of the three months ended April 30, 2018 and 2017, Calavo Growers, Inc. paid fees totaling less than $0.1 million to TroyGould PC. During each of the six months ended April 30, 2018 and 2017, Calavo Growers, Inc. paid fees totaling $0.1 million to TroyGould PC.</w:t>
      </w:r>
    </w:p>
    <w:p>
      <w:pPr>
        <w:spacing w:after="0" w:line="171"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formed Agricola Don Memo, S.A. de C.V. (Don Memo). Belo and Calavo Sub have an equal one-half ownership interest in Don Memo. Pursuant to a management service agreement, Belo, through its officers and employees, has day-to-day power and authority to manage the operations. Belo is entitled to a management fee, as defined, which is payable annually in July of each year. Additionally, Calavo Sub is entitled to commission, for the sale of produce in the Mexican National Market, United States, Canada, and any other overseas market.</w:t>
      </w:r>
    </w:p>
    <w:p>
      <w:pPr>
        <w:spacing w:after="0" w:line="167"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color w:val="auto"/>
        </w:rPr>
        <w:t>In January 2016, our unconsolidated subsidiary, Don Memo entered into a loan agreement in the amount of $4.5 million with Bank of America, N.A. (BoA) proceeds of which were used by Don Memo to repay debt owed to Calavo.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Also in January 2016, Calavo and BoA, entered into a Continuing and Unconditional Guaranty Agreement (the Guaranty). Under the terms of the Guaranty, Calavo unconditionally guarantees and promises to pay BoA any and all Indebtedness, as defined therein, of our unconsolidated subsidiary Don Memo to BoA. Belo has also entered into a similar guarantee with BoA.</w:t>
      </w:r>
    </w:p>
    <w:p>
      <w:pPr>
        <w:spacing w:after="0" w:line="187" w:lineRule="exact"/>
        <w:rPr>
          <w:sz w:val="20"/>
          <w:szCs w:val="20"/>
          <w:color w:val="auto"/>
        </w:rPr>
      </w:pPr>
    </w:p>
    <w:p>
      <w:pPr>
        <w:ind w:right="20" w:firstLine="259"/>
        <w:spacing w:after="0" w:line="290" w:lineRule="auto"/>
        <w:rPr>
          <w:sz w:val="20"/>
          <w:szCs w:val="20"/>
          <w:color w:val="auto"/>
        </w:rPr>
      </w:pPr>
      <w:r>
        <w:rPr>
          <w:rFonts w:ascii="Arial" w:cs="Arial" w:eastAsia="Arial" w:hAnsi="Arial"/>
          <w:sz w:val="16"/>
          <w:szCs w:val="16"/>
          <w:color w:val="auto"/>
        </w:rPr>
        <w:t>As of April 30, 2018 and October 31, 2017, we have an investment of $4.9 million and $4.6 million,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April 30, 2018 and October 31, 2017, we had outstanding advances of $2.5 million and $1.6 million to Don Memo. During the three months ended April 30, 2018, we recorded $0.1 million of expenses to Don Memo pursuant to our consignment agreement. During the six months ended April 30, 2018 and 2017, we recorded $3.8 million and $0.7 million of expenses to Don Memo pursuant to our consignment agreement.</w:t>
      </w:r>
    </w:p>
    <w:p>
      <w:pPr>
        <w:spacing w:after="0" w:line="166"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We had grower advances due from Belher of $4.0 million as of April 30, 2018 and October 31, 2017, which are netted against the grower payable. In addition, we had infrastructure advances due from Belher of $0.6 million as of April 30, 2018 and October 31, 2017. Of these infrastructure advances $0.2 million was recorded as receivable in prepaid and other current assets. The remaining $0.4 million of these infrastructure advances are recorded in other assets. During the three months ended April 30, 2018 and 2017, we recorded $6.7 million and $9.4 million of expenses to Belher pursuant to our consignment agreement. During the six months ended April 30, 2018 and 2017, we recorded $12.6 million and $13.1 million of expenses to Belher pursuant to our consignment agreement.</w:t>
      </w:r>
    </w:p>
    <w:p>
      <w:pPr>
        <w:spacing w:after="0" w:line="178"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In August 2015, we entered into Shareholder’s Agreement with various partners and created Avocados de Jalisco, S.A.P.I. de C.V. (“Avocados de Jalisco”). Avocados de Jalisco is a Mexican corporation created to engage in procuring, packing and selling avocados. This entity is approximately 83% owned by Calavo and is consolidated in our financial</w:t>
      </w:r>
    </w:p>
    <w:p>
      <w:pPr>
        <w:ind w:right="100"/>
        <w:spacing w:after="0" w:line="253" w:lineRule="auto"/>
        <w:rPr>
          <w:sz w:val="20"/>
          <w:szCs w:val="20"/>
          <w:color w:val="auto"/>
        </w:rPr>
      </w:pPr>
      <w:r>
        <w:rPr>
          <w:rFonts w:ascii="Arial" w:cs="Arial" w:eastAsia="Arial" w:hAnsi="Arial"/>
          <w:sz w:val="18"/>
          <w:szCs w:val="18"/>
          <w:color w:val="auto"/>
        </w:rPr>
        <w:t>statements. Avocados de Jalisco built a packinghouse located in Jalisco, Mexico and such packinghouse has begun operations in June of 2017. As of April 30, 2018 and October 31, 2017, we have made preseason advances of approximately $0.1 million to various partners of Avocados de Jalisco. During the six months ended April 30, 2018, we purchased approximately $0.2 million of avocados from the partners of Avocados de Jalisco. In January 2018, we transferred $1.0 million of interest to the Avocados de Jalisco noncontrolling members.</w:t>
      </w:r>
    </w:p>
    <w:p>
      <w:pPr>
        <w:spacing w:after="0" w:line="191"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As of April 30, 2018, we have an approximate 38% ownership interest in FreshRealm, LLC (FreshRealm). Three officers and five members of our board of directors have investments in FreshRealm. In addition, as of April 30, 2018 and October 31, 2017, we have a loan to FreshRealm members of approximately $0.3 million. In April 2017, FreshRealm initiated another round of financing. From April 2017 to October 2017, we invested $7.5 million in FreshRealm. In October and December 2017, our Chairman and Chief Executive Officer invested $7.0 million and $1.5 million into FreshRealm. In January 2018, one of our non-executive directors invested $1.8 million into FreshRealm. In the second quarter of fiscal 2018, two of our non-executive directors invested $1.2 million into FreshRealm.</w:t>
      </w:r>
    </w:p>
    <w:p>
      <w:pPr>
        <w:spacing w:after="0" w:line="17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We provide storage services to FreshRealm from our New Jersey and Texas Value-Added Depots, and our RFG Riverside facility. We have received less than $0.1 million in storage services revenue from FreshRealm in the three months ended April 30, 2018. We have received $0.1 million in storage services revenue from FreshRealm in the six months ended April 30, 2018. For the three months ended April 30, 2018 and 2017, RFG has sold $2.4 million and $1.9 million of products to FreshRealm. For the six months ended April 30, 2018 and 2017, RFG has sold $3.9 million and $2.9 million of products to FreshRealm.</w:t>
      </w:r>
    </w:p>
    <w:p>
      <w:pPr>
        <w:spacing w:after="0" w:line="19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previous owners of RFG, one of which is currently an officer of Calavo, have a majority ownership of certain entities that provide various services to RFG, specifically LIG Partners, LLC and THNC, LLC. One of RFG’s California operating facilities leases a building from LIG Partners, LLC (LIG) pursuant to an operating lease. RFG’s Texas operating facility leases a building from THNC, LLC (THNC) pursuant to an operating lease. As of April 30, 2018, THNC owes us $0.2 million related to tenant improvements. See the following tables for the related party activity for the three and six months ended April 30, 2018 and 2017: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10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2018</w:t>
            </w:r>
          </w:p>
        </w:tc>
        <w:tc>
          <w:tcPr>
            <w:tcW w:w="100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0</wp:posOffset>
            </wp:positionV>
            <wp:extent cx="459676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p>
      <w:pPr>
        <w:ind w:left="920"/>
        <w:spacing w:after="0"/>
        <w:rPr>
          <w:sz w:val="20"/>
          <w:szCs w:val="20"/>
          <w:color w:val="auto"/>
        </w:rPr>
      </w:pPr>
      <w:r>
        <w:rPr>
          <w:rFonts w:ascii="Arial" w:cs="Arial" w:eastAsia="Arial" w:hAnsi="Arial"/>
          <w:sz w:val="18"/>
          <w:szCs w:val="18"/>
          <w:color w:val="auto"/>
        </w:rPr>
        <w:t>Rent paid to LIG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Rent paid to THNC, LLC</w:t>
      </w:r>
    </w:p>
    <w:p>
      <w:pPr>
        <w:spacing w:after="0" w:line="200" w:lineRule="exact"/>
        <w:rPr>
          <w:sz w:val="20"/>
          <w:szCs w:val="20"/>
          <w:color w:val="auto"/>
        </w:rPr>
      </w:pPr>
    </w:p>
    <w:p>
      <w:pPr>
        <w:spacing w:after="0" w:line="20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139</w:t>
            </w:r>
          </w:p>
        </w:tc>
        <w:tc>
          <w:tcPr>
            <w:tcW w:w="140" w:type="dxa"/>
            <w:vAlign w:val="bottom"/>
          </w:tcPr>
          <w:p>
            <w:pPr>
              <w:spacing w:after="0"/>
              <w:rPr>
                <w:sz w:val="16"/>
                <w:szCs w:val="16"/>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w:t>
            </w:r>
          </w:p>
        </w:tc>
      </w:tr>
      <w:tr>
        <w:trPr>
          <w:trHeight w:val="230"/>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r>
    </w:tbl>
    <w:p>
      <w:pPr>
        <w:spacing w:after="0" w:line="207"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2693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320"/>
        <w:spacing w:after="0"/>
        <w:tabs>
          <w:tab w:leader="none" w:pos="13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p>
    <w:p>
      <w:pPr>
        <w:sectPr>
          <w:pgSz w:w="11900" w:h="16838" w:orient="portrait"/>
          <w:cols w:equalWidth="0" w:num="2">
            <w:col w:w="5360" w:space="720"/>
            <w:col w:w="3040"/>
          </w:cols>
          <w:pgMar w:left="1420" w:top="125" w:right="1359" w:bottom="1440" w:gutter="0" w:footer="0" w:header="0"/>
          <w:type w:val="continuous"/>
        </w:sectPr>
      </w:pPr>
    </w:p>
    <w:tbl>
      <w:tblPr>
        <w:tblLayout w:type="fixed"/>
        <w:tblInd w:w="920" w:type="dxa"/>
        <w:tblCellMar>
          <w:top w:w="0" w:type="dxa"/>
          <w:left w:w="0" w:type="dxa"/>
          <w:bottom w:w="0" w:type="dxa"/>
          <w:right w:w="0" w:type="dxa"/>
        </w:tblCellMar>
      </w:tblPr>
      <w:tr>
        <w:trPr>
          <w:trHeight w:val="20"/>
        </w:trPr>
        <w:tc>
          <w:tcPr>
            <w:tcW w:w="5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0"/>
        </w:trPr>
        <w:tc>
          <w:tcPr>
            <w:tcW w:w="5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Rent paid to LIG</w:t>
            </w:r>
          </w:p>
        </w:tc>
        <w:tc>
          <w:tcPr>
            <w:tcW w:w="5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278</w:t>
            </w:r>
          </w:p>
        </w:tc>
        <w:tc>
          <w:tcPr>
            <w:tcW w:w="4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6"/>
                <w:szCs w:val="16"/>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Rent paid to THNC, LLC</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0"/>
                <w:szCs w:val="20"/>
                <w:color w:val="auto"/>
              </w:rPr>
            </w:pPr>
          </w:p>
        </w:tc>
      </w:tr>
    </w:tbl>
    <w:p>
      <w:pPr>
        <w:spacing w:after="0" w:line="22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Other assets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4"/>
              </w:rPr>
              <w:t>April 30,</w:t>
            </w:r>
          </w:p>
        </w:tc>
        <w:tc>
          <w:tcPr>
            <w:tcW w:w="80" w:type="dxa"/>
            <w:vAlign w:val="bottom"/>
          </w:tcPr>
          <w:p>
            <w:pPr>
              <w:spacing w:after="0"/>
              <w:rPr>
                <w:sz w:val="16"/>
                <w:szCs w:val="16"/>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October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2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w w:val="97"/>
              </w:rPr>
              <w:t>Mexican IVA (i.e. value-added) taxes receivable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20,715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w w:val="94"/>
              </w:rPr>
              <w:t>18,174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Infrastructure advance to Agricola Belher</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Loan to FreshRealm members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receivable from San Rafael</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1,125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22,791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640" w:type="dxa"/>
            <w:vAlign w:val="bottom"/>
            <w:gridSpan w:val="7"/>
          </w:tcPr>
          <w:p>
            <w:pPr>
              <w:jc w:val="right"/>
              <w:ind w:right="196"/>
              <w:spacing w:after="0"/>
              <w:rPr>
                <w:sz w:val="20"/>
                <w:szCs w:val="20"/>
                <w:color w:val="auto"/>
              </w:rPr>
            </w:pPr>
            <w:r>
              <w:rPr>
                <w:rFonts w:ascii="Arial" w:cs="Arial" w:eastAsia="Arial" w:hAnsi="Arial"/>
                <w:sz w:val="18"/>
                <w:szCs w:val="18"/>
                <w:color w:val="auto"/>
                <w:w w:val="97"/>
              </w:rPr>
              <w:t>Intangible assets consist of the following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April 30, 2018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4"/>
              </w:rPr>
              <w:t>October 31,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Accum.</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ind w:right="45"/>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Book</w:t>
            </w:r>
          </w:p>
        </w:tc>
        <w:tc>
          <w:tcPr>
            <w:tcW w:w="8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8.0 years</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7,640</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8.4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9.3 years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Brand name intangibles</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indefinite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11,572</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anticipate recording amortization expense of approximately $0.6 million for the remainder of fiscal 2018, $0.7 million for fiscal year 2019, $0.1 million for fiscal year 2020, $0.1 million for fiscal year 2021, and $0.1 million for thereafter, through fiscal year 2023.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11 for additional information related to Mexican IVA taxes.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right="460" w:firstLine="259"/>
        <w:spacing w:after="0" w:line="259"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7"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On January 2, 2018, all 12 of our non-employee directors were granted 1,750 restricted shares each (total of 21,000 shares). These shares have full voting rights and participate in dividends as if unrestricted. The closing price of our stock on such date was $85.90. On January 2, 2019, as long as the directors are still serving on the board, these shares lose their restriction and become non-forfeitable and transferable. These shares were granted pursuant to our 2011 Plan. The total recognized stock-based compensation expense for these grants was $0.5 million for the three months ended</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type w:val="continuous"/>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April 30, 2018. The total recognized stock-based compensation expense for these grants was $0.6 million for the six months ended April 30, 2018.</w:t>
      </w:r>
    </w:p>
    <w:p>
      <w:pPr>
        <w:spacing w:after="0" w:line="170"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On December 18, 2017, our executive officers were granted a total of 25,241 restricted shares. These shares have full voting rights and participate in dividends as if unrestricted. The closing price of our stock on such date was $75.45. These shares vest in one-third increments, on an annual basis, beginning December 18, 2018. These shares were granted pursuant to our 2011 Plan. The total recognized stock-based compensation expense for these grants was $0.2 million for the three months ended April 30, 2018. The total recognized stock-based compensation expense for these grants was $0.3 million for the six months ended April 30, 2018.</w:t>
      </w:r>
    </w:p>
    <w:p>
      <w:pPr>
        <w:spacing w:after="0" w:line="193"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On October 31, 2017, a member of the management team at RFG resigned. His unvested portion of restricted stock issued in December of 2016 and January of 2016 were forfeited. On January 25, 2018, in consideration of and in exchange for his forfeiture of restricted shares upon his resignation, the board of directors granted 10,788 shares of unrestricted stock, which immediately vested. The closing price of our stock on such date was $87.10. We recorded for this grant $0.8 million of stock-based compensation expense in our fiscal first quarter of 2018.</w:t>
      </w:r>
    </w:p>
    <w:p>
      <w:pPr>
        <w:spacing w:after="0" w:line="173"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On February 2, 2017, our Vice President of the Foods Division retired from Calavo for medical reasons. In January 2018, per the terms of our 2011 Plan and the respective employee award, the board of directors awarded the portion of the fiscal 2017 management bonus for the percentage of the year worked. As a result, he was granted 867 shares of unrestricted stock, which immediately vested. As a result, we recorded $0.1 million of stock-based compensation expense in our fiscal first quarter of 2018.</w:t>
      </w:r>
    </w:p>
    <w:p>
      <w:pPr>
        <w:spacing w:after="0" w:line="188"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 summary of restricted stock activity, related to our 2011 Management Incentive Plan, is as follows (in thousands, except for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Number of Shares</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 Price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259"/>
        <w:spacing w:after="0" w:line="257" w:lineRule="auto"/>
        <w:rPr>
          <w:sz w:val="20"/>
          <w:szCs w:val="20"/>
          <w:color w:val="auto"/>
        </w:rPr>
      </w:pPr>
      <w:r>
        <w:rPr>
          <w:rFonts w:ascii="Arial" w:cs="Arial" w:eastAsia="Arial" w:hAnsi="Arial"/>
          <w:sz w:val="18"/>
          <w:szCs w:val="18"/>
          <w:color w:val="auto"/>
        </w:rPr>
        <w:t>The total recognized stock-based compensation expense for restricted stock was $0.9 million and $0.8 million for the three months ended April 30, 2018 and 2017. The total recognized stock-based compensation expense for restricted stock was $1.8 million and $1.5 million for the six months ended April 30, 2018 and 2017. Total unrecognized stock-based compensation expense totaled $4.8 million and $3.0 million as of April 30, 2018 and October 31, 2017, and will be amortized through fiscal year 2020.</w:t>
      </w:r>
    </w:p>
    <w:p>
      <w:pPr>
        <w:spacing w:after="0" w:line="188"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grant date. We settle stock option exercises with newly issued shares of common stock.</w:t>
      </w:r>
    </w:p>
    <w:p>
      <w:pPr>
        <w:spacing w:after="0" w:line="73"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 based compensation awards on the date of grant.</w:t>
      </w:r>
    </w:p>
    <w:p>
      <w:pPr>
        <w:spacing w:after="0" w:line="7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 summary of stock option activity, related to our 2005 Stock Incentive Plan, is as follows (in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r>
      <w:tr>
        <w:trPr>
          <w:trHeight w:val="201"/>
        </w:trPr>
        <w:tc>
          <w:tcPr>
            <w:tcW w:w="5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18.54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34"/>
              <w:spacing w:after="0"/>
              <w:rPr>
                <w:sz w:val="20"/>
                <w:szCs w:val="20"/>
                <w:color w:val="auto"/>
              </w:rPr>
            </w:pPr>
            <w:r>
              <w:rPr>
                <w:rFonts w:ascii="Arial" w:cs="Arial" w:eastAsia="Arial" w:hAnsi="Arial"/>
                <w:sz w:val="18"/>
                <w:szCs w:val="18"/>
                <w:color w:val="auto"/>
              </w:rPr>
              <w:t>17.66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9"/>
                <w:szCs w:val="19"/>
                <w:color w:val="auto"/>
              </w:rPr>
            </w:pPr>
          </w:p>
        </w:tc>
      </w:tr>
      <w:tr>
        <w:trPr>
          <w:trHeight w:val="210"/>
        </w:trPr>
        <w:tc>
          <w:tcPr>
            <w:tcW w:w="5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at April 30, 2018</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300" w:type="dxa"/>
            <w:vAlign w:val="bottom"/>
            <w:tcBorders>
              <w:top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ind w:right="234"/>
              <w:spacing w:after="0" w:line="203" w:lineRule="exact"/>
              <w:rPr>
                <w:sz w:val="20"/>
                <w:szCs w:val="20"/>
                <w:color w:val="auto"/>
              </w:rPr>
            </w:pPr>
            <w:r>
              <w:rPr>
                <w:rFonts w:ascii="Arial" w:cs="Arial" w:eastAsia="Arial" w:hAnsi="Arial"/>
                <w:sz w:val="18"/>
                <w:szCs w:val="18"/>
                <w:color w:val="auto"/>
              </w:rPr>
              <w:t>19.20</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216"/>
              <w:spacing w:after="0" w:line="203" w:lineRule="exact"/>
              <w:rPr>
                <w:sz w:val="20"/>
                <w:szCs w:val="20"/>
                <w:color w:val="auto"/>
              </w:rPr>
            </w:pPr>
            <w:r>
              <w:rPr>
                <w:rFonts w:ascii="Arial" w:cs="Arial" w:eastAsia="Arial" w:hAnsi="Arial"/>
                <w:sz w:val="18"/>
                <w:szCs w:val="18"/>
                <w:color w:val="auto"/>
              </w:rPr>
              <w:t>374</w:t>
            </w:r>
          </w:p>
        </w:tc>
        <w:tc>
          <w:tcPr>
            <w:tcW w:w="6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At April 30, 2018, outstanding and exercisable stock options had a weighted-average remaining contractual term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years. The total recognized and unrecognized stock-based compensation expense was insignificant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April 30, 2018.</w:t>
      </w:r>
    </w:p>
    <w:p>
      <w:pPr>
        <w:spacing w:after="0" w:line="184"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 summary of stock option activity, related to our 2011 Management Incentive Plan, is as follows (in thousands, except for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8"/>
              </w:rPr>
              <w:t>Aggregate</w:t>
            </w:r>
          </w:p>
        </w:tc>
      </w:tr>
      <w:tr>
        <w:trPr>
          <w:trHeight w:val="216"/>
        </w:trPr>
        <w:tc>
          <w:tcPr>
            <w:tcW w:w="5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8"/>
                <w:szCs w:val="18"/>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Intrinsic</w:t>
            </w:r>
          </w:p>
        </w:tc>
      </w:tr>
      <w:tr>
        <w:trPr>
          <w:trHeight w:val="201"/>
        </w:trPr>
        <w:tc>
          <w:tcPr>
            <w:tcW w:w="5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Price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40.07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Outstanding at April 30, 2018</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40.07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1,068</w:t>
            </w:r>
          </w:p>
        </w:tc>
        <w:tc>
          <w:tcPr>
            <w:tcW w:w="60" w:type="dxa"/>
            <w:vAlign w:val="bottom"/>
          </w:tcPr>
          <w:p>
            <w:pPr>
              <w:spacing w:after="0"/>
              <w:rPr>
                <w:sz w:val="19"/>
                <w:szCs w:val="19"/>
                <w:color w:val="auto"/>
              </w:rPr>
            </w:pPr>
          </w:p>
        </w:tc>
      </w:tr>
      <w:tr>
        <w:trPr>
          <w:trHeight w:val="22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April 30, 2018</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29.01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right="40" w:firstLine="259"/>
        <w:spacing w:after="0" w:line="264" w:lineRule="auto"/>
        <w:rPr>
          <w:sz w:val="20"/>
          <w:szCs w:val="20"/>
          <w:color w:val="auto"/>
        </w:rPr>
      </w:pPr>
      <w:r>
        <w:rPr>
          <w:rFonts w:ascii="Arial" w:cs="Arial" w:eastAsia="Arial" w:hAnsi="Arial"/>
          <w:sz w:val="18"/>
          <w:szCs w:val="18"/>
          <w:color w:val="auto"/>
        </w:rPr>
        <w:t>At April 30, 2018, outstanding and exercisable stock options had a weighted-average remaining contractual term of 4.7 years. The total recognized and unrecognized stock-based compensation expense was insignificant for the three months ended April 30, 2018.</w:t>
      </w:r>
    </w:p>
    <w:p>
      <w:pPr>
        <w:spacing w:after="0" w:line="177" w:lineRule="exact"/>
        <w:rPr>
          <w:sz w:val="20"/>
          <w:szCs w:val="20"/>
          <w:color w:val="auto"/>
        </w:rPr>
      </w:pPr>
    </w:p>
    <w:p>
      <w:pPr>
        <w:ind w:left="360" w:hanging="357"/>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 payment</w:t>
      </w:r>
    </w:p>
    <w:p>
      <w:pPr>
        <w:spacing w:after="0" w:line="225"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On December 8, 2017, we paid a $0.95 per share dividend in the aggregate amount of $16.7 million to shareholders of record on November 17, 2017.</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right="40" w:firstLine="259"/>
        <w:spacing w:after="0" w:line="279" w:lineRule="auto"/>
        <w:rPr>
          <w:sz w:val="20"/>
          <w:szCs w:val="20"/>
          <w:color w:val="auto"/>
        </w:rPr>
      </w:pPr>
      <w:r>
        <w:rPr>
          <w:rFonts w:ascii="Arial" w:cs="Arial" w:eastAsia="Arial" w:hAnsi="Arial"/>
          <w:sz w:val="17"/>
          <w:szCs w:val="17"/>
          <w:color w:val="auto"/>
        </w:rPr>
        <w:t>We are currently a named defendant in two class action lawsuits filed in Superior state courts in California alleging violations of California wage-and-hour laws, failure to pay overtime, failure to pay for missed meal and rest periods, failure to provide accurate itemized wage statements, failure to pay all wages due at the time of termination or resignation, as well as statutory penalties for violation of the California Labor Code and Minimum Wage Order-2014.</w:t>
      </w:r>
    </w:p>
    <w:p>
      <w:pPr>
        <w:spacing w:after="0" w:line="171" w:lineRule="exact"/>
        <w:rPr>
          <w:sz w:val="20"/>
          <w:szCs w:val="20"/>
          <w:color w:val="auto"/>
        </w:rPr>
      </w:pPr>
    </w:p>
    <w:p>
      <w:pPr>
        <w:jc w:val="both"/>
        <w:ind w:right="40" w:firstLine="259"/>
        <w:spacing w:after="0" w:line="257" w:lineRule="auto"/>
        <w:rPr>
          <w:sz w:val="20"/>
          <w:szCs w:val="20"/>
          <w:color w:val="auto"/>
        </w:rPr>
      </w:pPr>
      <w:r>
        <w:rPr>
          <w:rFonts w:ascii="Arial" w:cs="Arial" w:eastAsia="Arial" w:hAnsi="Arial"/>
          <w:sz w:val="18"/>
          <w:szCs w:val="18"/>
          <w:color w:val="auto"/>
        </w:rPr>
        <w:t>In August 2017, the parties reached a tentative settlement of the case, whereby we agreed to pay $0.4 million to resolve the allegations and avoid further distraction that would result if the litigation continued. The settlement is subject to court approval. The Company recorded $0.4 million as a selling, general and administrative expense in the third quarter of fiscal 2017. The final court approval is scheduled for August 2018 for the aforementioned settlement agreement and there will be no significant change in expense.</w:t>
      </w:r>
    </w:p>
    <w:p>
      <w:pPr>
        <w:spacing w:after="0" w:line="188"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right="580" w:firstLine="177"/>
        <w:spacing w:after="0" w:line="312" w:lineRule="auto"/>
        <w:rPr>
          <w:sz w:val="20"/>
          <w:szCs w:val="20"/>
          <w:color w:val="auto"/>
        </w:rPr>
      </w:pPr>
      <w:r>
        <w:rPr>
          <w:rFonts w:ascii="Arial" w:cs="Arial" w:eastAsia="Arial" w:hAnsi="Arial"/>
          <w:sz w:val="16"/>
          <w:szCs w:val="16"/>
          <w:color w:val="auto"/>
        </w:rPr>
        <w:t>We conduct business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our fourth fiscal quarter of 2016, we provided a written rebuttal to MFM’s preliminary observations and requested the adoption of a conclusive agreement before the PRODECON (Local Tax Ombudsman) so that a full discussion of the case between us, the MFM and the PRODECON, as appropriate, can lead to a reconsideration of the MFM findings. During our third and fourth fiscal quarters of 2017, several meetings between MFM, PRODECON and us took place and on November 28, 2017, the initial PRODECON process concluded. In April 2018, we filed a second formal agreement before the PRODECON, so that we can continue the discussion of the case between us, the MFM and the PRODECON. During this meeting and discussion period, the statutory period that MFM has in order to issue the tax assessment has been suspended. Currently, we are waiting for the response of the MFM and the PRODECON regarding our next meeting date. We believe we have the legal arguments and documentation to sustain the positions challenged by tax authorities.</w:t>
      </w:r>
    </w:p>
    <w:p>
      <w:pPr>
        <w:spacing w:after="0" w:line="175" w:lineRule="exact"/>
        <w:rPr>
          <w:sz w:val="20"/>
          <w:szCs w:val="20"/>
          <w:color w:val="auto"/>
        </w:rPr>
      </w:pPr>
    </w:p>
    <w:p>
      <w:pPr>
        <w:ind w:firstLine="170"/>
        <w:spacing w:after="0" w:line="269" w:lineRule="auto"/>
        <w:rPr>
          <w:sz w:val="20"/>
          <w:szCs w:val="20"/>
          <w:color w:val="auto"/>
        </w:rPr>
      </w:pPr>
      <w:r>
        <w:rPr>
          <w:rFonts w:ascii="Arial" w:cs="Arial" w:eastAsia="Arial" w:hAnsi="Arial"/>
          <w:sz w:val="17"/>
          <w:szCs w:val="17"/>
          <w:color w:val="auto"/>
        </w:rPr>
        <w:t>Additionally, we also received notice from Mexico's Federal Tax Administration Service, Servicio de Administracion Tributaria (SAT), that our wholly-owned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 during our second fiscal quarter of 2017, which the SAT is in process of analyzing. During our third fiscal quarter of 2017, we requested the adoption of a conclusive agreement before the PRODECON (Local Tax Ombudsman), so that a full discussion of the case between us, the SAT and the PRODECON, as appropriate, can lead to a reconsideration of the SATs findings. During our first fiscal quarter of 2018, we had an initial meeting with officials from the SAT and the PRODECON, which led to a further exchange of supporting information and documentation. We expect that several formal meetings between us, the SAT and the PRODECON will be required before the SAT will reach a conclusion. Note that during the meeting and discussion process, the fiscal year 2013 final assessment (previously expected no later September 2017) has been suspended.</w:t>
      </w:r>
    </w:p>
    <w:p>
      <w:pPr>
        <w:spacing w:after="0" w:line="180" w:lineRule="exact"/>
        <w:rPr>
          <w:sz w:val="20"/>
          <w:szCs w:val="20"/>
          <w:color w:val="auto"/>
        </w:rPr>
      </w:pPr>
    </w:p>
    <w:p>
      <w:pPr>
        <w:ind w:firstLine="210"/>
        <w:spacing w:after="0" w:line="277" w:lineRule="auto"/>
        <w:rPr>
          <w:sz w:val="20"/>
          <w:szCs w:val="20"/>
          <w:color w:val="auto"/>
        </w:rPr>
      </w:pPr>
      <w:r>
        <w:rPr>
          <w:rFonts w:ascii="Arial" w:cs="Arial" w:eastAsia="Arial" w:hAnsi="Arial"/>
          <w:sz w:val="18"/>
          <w:szCs w:val="18"/>
          <w:color w:val="auto"/>
        </w:rPr>
        <w:t>We believe that the ultimate resolution of these matters is unlikely to have a material effect on our consolidated financial position, results of operations and cash flows.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Fair value measurements</w:t>
      </w:r>
    </w:p>
    <w:p>
      <w:pPr>
        <w:spacing w:after="0" w:line="229"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April 30, 2018 that are measured on a recurring basis during the period, segregated by level within the fair value hierarchy: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2</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920" w:type="dxa"/>
            <w:vAlign w:val="bottom"/>
            <w:gridSpan w:val="8"/>
          </w:tcPr>
          <w:p>
            <w:pPr>
              <w:ind w:left="160"/>
              <w:spacing w:after="0"/>
              <w:rPr>
                <w:sz w:val="20"/>
                <w:szCs w:val="20"/>
                <w:color w:val="auto"/>
              </w:rPr>
            </w:pPr>
            <w:r>
              <w:rPr>
                <w:rFonts w:ascii="Arial" w:cs="Arial" w:eastAsia="Arial" w:hAnsi="Arial"/>
                <w:sz w:val="14"/>
                <w:szCs w:val="14"/>
                <w:b w:val="1"/>
                <w:bCs w:val="1"/>
                <w:color w:val="auto"/>
                <w:w w:val="99"/>
              </w:rPr>
              <w:t>(All amounts are pres</w:t>
            </w:r>
            <w:r>
              <w:rPr>
                <w:rFonts w:ascii="Arial" w:cs="Arial" w:eastAsia="Arial" w:hAnsi="Arial"/>
                <w:sz w:val="14"/>
                <w:szCs w:val="14"/>
                <w:color w:val="auto"/>
                <w:w w:val="99"/>
              </w:rPr>
              <w:t>e</w:t>
            </w:r>
            <w:r>
              <w:rPr>
                <w:rFonts w:ascii="Arial" w:cs="Arial" w:eastAsia="Arial" w:hAnsi="Arial"/>
                <w:sz w:val="14"/>
                <w:szCs w:val="14"/>
                <w:b w:val="1"/>
                <w:bCs w:val="1"/>
                <w:color w:val="auto"/>
                <w:w w:val="99"/>
              </w:rPr>
              <w:t>nted in thousands)</w:t>
            </w:r>
          </w:p>
        </w:tc>
      </w:tr>
      <w:tr>
        <w:trPr>
          <w:trHeight w:val="216"/>
        </w:trPr>
        <w:tc>
          <w:tcPr>
            <w:tcW w:w="90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Investment in Limoneira Company</w:t>
            </w:r>
            <w:r>
              <w:rPr>
                <w:rFonts w:ascii="Arial" w:cs="Arial" w:eastAsia="Arial" w:hAnsi="Arial"/>
                <w:sz w:val="8"/>
                <w:szCs w:val="8"/>
                <w:color w:val="auto"/>
              </w:rPr>
              <w:t>(1)</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$ 40,241</w:t>
            </w:r>
          </w:p>
        </w:tc>
        <w:tc>
          <w:tcPr>
            <w:tcW w:w="18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$ 40,241</w:t>
            </w:r>
          </w:p>
        </w:tc>
        <w:tc>
          <w:tcPr>
            <w:tcW w:w="60" w:type="dxa"/>
            <w:vAlign w:val="bottom"/>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$ 40,241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$ 40,241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89" w:lineRule="exact"/>
        <w:rPr>
          <w:sz w:val="20"/>
          <w:szCs w:val="20"/>
          <w:color w:val="auto"/>
        </w:rPr>
      </w:pPr>
    </w:p>
    <w:p>
      <w:pPr>
        <w:jc w:val="both"/>
        <w:ind w:left="1220" w:hanging="322"/>
        <w:spacing w:after="0" w:line="228" w:lineRule="auto"/>
        <w:tabs>
          <w:tab w:leader="none" w:pos="1323"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investment in Limoneira Company consists of marketable securities in the Limoneira Company stock. We currently own approximately 12% of Limoneira’s outstanding common stock. These securities are measured at fair value using quoted market prices. Limoneira’s stock price at April 30, 2018 and October 31, 2017 equaled $23.28 per share and $23.35 per share. Unrealized gains and losses are recognized through other comprehensive income. Unrealized investment holding gains arising during the three months ended April 30, 2018 and 2017 was $3.0 million and $6.4 million. Unrealized investment holding losses arising during the six months ended April 30, 2018 was $0.1 million. Unrealized investment holding gains arising during the six months ended April 30, 2017 was $1.7 million.</w:t>
      </w:r>
    </w:p>
    <w:p>
      <w:pPr>
        <w:spacing w:after="0" w:line="293" w:lineRule="exact"/>
        <w:rPr>
          <w:rFonts w:ascii="Arial" w:cs="Arial" w:eastAsia="Arial" w:hAnsi="Arial"/>
          <w:sz w:val="14"/>
          <w:szCs w:val="14"/>
          <w:color w:val="auto"/>
        </w:rPr>
      </w:pPr>
    </w:p>
    <w:p>
      <w:pPr>
        <w:ind w:left="320" w:hanging="317"/>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3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6680" w:type="dxa"/>
            <w:vAlign w:val="bottom"/>
            <w:gridSpan w:val="2"/>
            <w:vMerge w:val="continue"/>
          </w:tcPr>
          <w:p>
            <w:pPr>
              <w:spacing w:after="0"/>
              <w:rPr>
                <w:sz w:val="12"/>
                <w:szCs w:val="12"/>
                <w:color w:val="auto"/>
              </w:rPr>
            </w:pPr>
          </w:p>
        </w:tc>
        <w:tc>
          <w:tcPr>
            <w:tcW w:w="106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Noncontrolling interest, beginning</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1,867</w:t>
            </w:r>
          </w:p>
        </w:tc>
        <w:tc>
          <w:tcPr>
            <w:tcW w:w="200" w:type="dxa"/>
            <w:vAlign w:val="bottom"/>
          </w:tcPr>
          <w:p>
            <w:pPr>
              <w:spacing w:after="0"/>
              <w:rPr>
                <w:sz w:val="18"/>
                <w:szCs w:val="18"/>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60" w:type="dxa"/>
            <w:vAlign w:val="bottom"/>
            <w:gridSpan w:val="2"/>
          </w:tcPr>
          <w:p>
            <w:pPr>
              <w:spacing w:after="0"/>
              <w:rPr>
                <w:sz w:val="20"/>
                <w:szCs w:val="20"/>
                <w:color w:val="auto"/>
              </w:rPr>
            </w:pPr>
            <w:r>
              <w:rPr>
                <w:rFonts w:ascii="Arial" w:cs="Arial" w:eastAsia="Arial" w:hAnsi="Arial"/>
                <w:sz w:val="18"/>
                <w:szCs w:val="18"/>
                <w:color w:val="auto"/>
              </w:rPr>
              <w:t>Noncontrolling interest, ending</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6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Noncontrolling interest, beginning</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8"/>
                <w:szCs w:val="18"/>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Noncash transfer of noncontrolling interest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 attributable to Calavo Growers, Inc.</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14,122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12,945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21,261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18,194</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17,481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17,426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17,472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17,402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stock/options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7"/>
        </w:trPr>
        <w:tc>
          <w:tcPr>
            <w:tcW w:w="4940" w:type="dxa"/>
            <w:vAlign w:val="bottom"/>
            <w:gridSpan w:val="2"/>
          </w:tcPr>
          <w:p>
            <w:pPr>
              <w:spacing w:after="0"/>
              <w:rPr>
                <w:sz w:val="20"/>
                <w:szCs w:val="20"/>
                <w:color w:val="auto"/>
              </w:rPr>
            </w:pPr>
            <w:r>
              <w:rPr>
                <w:rFonts w:ascii="Arial" w:cs="Arial" w:eastAsia="Arial" w:hAnsi="Arial"/>
                <w:sz w:val="18"/>
                <w:szCs w:val="18"/>
                <w:color w:val="auto"/>
              </w:rPr>
              <w:t>Weighted average shares – Diluted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17,580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17,561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17,486</w:t>
            </w:r>
          </w:p>
        </w:tc>
      </w:tr>
      <w:tr>
        <w:trPr>
          <w:trHeight w:val="216"/>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Net income per share attributable to Calavo Growers, Inc:</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Mexican IVA taxes receivable</w:t>
      </w:r>
    </w:p>
    <w:p>
      <w:pPr>
        <w:spacing w:after="0" w:line="229" w:lineRule="exact"/>
        <w:rPr>
          <w:sz w:val="20"/>
          <w:szCs w:val="20"/>
          <w:color w:val="auto"/>
        </w:rPr>
      </w:pPr>
    </w:p>
    <w:p>
      <w:pPr>
        <w:ind w:right="19" w:firstLine="259"/>
        <w:spacing w:after="0" w:line="264" w:lineRule="auto"/>
        <w:rPr>
          <w:sz w:val="20"/>
          <w:szCs w:val="20"/>
          <w:color w:val="auto"/>
        </w:rPr>
      </w:pPr>
      <w:r>
        <w:rPr>
          <w:rFonts w:ascii="Arial" w:cs="Arial" w:eastAsia="Arial" w:hAnsi="Arial"/>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81" w:lineRule="exact"/>
        <w:rPr>
          <w:sz w:val="20"/>
          <w:szCs w:val="20"/>
          <w:color w:val="auto"/>
        </w:rPr>
      </w:pPr>
    </w:p>
    <w:p>
      <w:pPr>
        <w:ind w:right="59" w:firstLine="259"/>
        <w:spacing w:after="0" w:line="291" w:lineRule="auto"/>
        <w:rPr>
          <w:sz w:val="20"/>
          <w:szCs w:val="20"/>
          <w:color w:val="auto"/>
        </w:rPr>
      </w:pPr>
      <w:r>
        <w:rPr>
          <w:rFonts w:ascii="Arial" w:cs="Arial" w:eastAsia="Arial" w:hAnsi="Arial"/>
          <w:sz w:val="16"/>
          <w:szCs w:val="16"/>
          <w:color w:val="auto"/>
        </w:rPr>
        <w:t>As of April 30, 2018 and October 31, 2017, IVA receivables totaled $22.2 million and $19.5 million. Historically, CDM received IVA refund payments from the Mexican tax authorities on a timely basis. Beginning in fiscal 2014 and continuing into fiscal 2018,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w:t>
      </w:r>
    </w:p>
    <w:p>
      <w:pPr>
        <w:spacing w:after="0" w:line="167" w:lineRule="exact"/>
        <w:rPr>
          <w:sz w:val="20"/>
          <w:szCs w:val="20"/>
          <w:color w:val="auto"/>
        </w:rPr>
      </w:pPr>
    </w:p>
    <w:p>
      <w:pPr>
        <w:ind w:right="19" w:firstLine="259"/>
        <w:spacing w:after="0" w:line="271" w:lineRule="auto"/>
        <w:rPr>
          <w:sz w:val="20"/>
          <w:szCs w:val="20"/>
          <w:color w:val="auto"/>
        </w:rPr>
      </w:pPr>
      <w:r>
        <w:rPr>
          <w:rFonts w:ascii="Arial" w:cs="Arial" w:eastAsia="Arial" w:hAnsi="Arial"/>
          <w:sz w:val="17"/>
          <w:szCs w:val="17"/>
          <w:color w:val="auto"/>
        </w:rPr>
        <w:t>During the first quarter of fiscal 2017, tax authorities informed us that their internal opinion, based on the information provided by local SAT office in Uruapan, considers that CDM is not properly documented relative to its declared tax structure and therefore CDM cannot claim the refundable IVA balance. CDM has strong arguments and supporting documentation to sustain its declared tax structure for IVA and income tax purposes. CDM decided to start an administrative appeal for the IVA related to the request of the months of July, August and September of 2015 in order to assert its argument that CDM is properly documented and to therefore change the SAT’s internal assessment. CDM expects to have a resolution to this matter in fiscal 2018. As of April 30, 2018 and October 31, 2017, $20.7 million and $18.2 million of CDM IVA receivables were recorded in other assets.</w:t>
      </w:r>
    </w:p>
    <w:p>
      <w:pPr>
        <w:spacing w:after="0" w:line="179" w:lineRule="exact"/>
        <w:rPr>
          <w:sz w:val="20"/>
          <w:szCs w:val="20"/>
          <w:color w:val="auto"/>
        </w:rPr>
      </w:pPr>
    </w:p>
    <w:p>
      <w:pPr>
        <w:ind w:right="59" w:firstLine="259"/>
        <w:spacing w:after="0" w:line="264" w:lineRule="auto"/>
        <w:rPr>
          <w:sz w:val="20"/>
          <w:szCs w:val="20"/>
          <w:color w:val="auto"/>
        </w:rPr>
      </w:pPr>
      <w:r>
        <w:rPr>
          <w:rFonts w:ascii="Arial" w:cs="Arial" w:eastAsia="Arial" w:hAnsi="Arial"/>
          <w:sz w:val="18"/>
          <w:szCs w:val="18"/>
          <w:color w:val="auto"/>
        </w:rPr>
        <w:t>We believe that our operations in Mexico are properly documented and that the Mexican tax authorities will ultimately authorize the refund of the corresponding IVA amounts. We will continue to monitor the collection of these receivables with our outside consultants.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159" w:firstLine="225"/>
        <w:spacing w:after="0" w:line="342" w:lineRule="auto"/>
        <w:rPr>
          <w:sz w:val="20"/>
          <w:szCs w:val="20"/>
          <w:color w:val="auto"/>
        </w:rPr>
      </w:pPr>
      <w:r>
        <w:rPr>
          <w:rFonts w:ascii="Arial" w:cs="Arial" w:eastAsia="Arial" w:hAnsi="Arial"/>
          <w:sz w:val="16"/>
          <w:szCs w:val="16"/>
          <w:color w:val="auto"/>
        </w:rPr>
        <w:t>Our tax provision is determined using an estimated annual effective tax rate and adjusted for discrete taxable events that may occur during the quarter. We recognize the effects of tax legislation in the period in which the law is enacted.</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deferred tax assets and liabilities are remeasured using enacted tax rates expected to apply to taxable income in the years we estimate the related temporary differences to reverse.</w:t>
      </w:r>
    </w:p>
    <w:p>
      <w:pPr>
        <w:spacing w:after="0" w:line="17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On December 22, 2017, the President of the United States signed and enacted comprehensive tax legislation into law H.R. 1, commonly referred to as the Tax Cuts and Jobs Act (the “Tax Act”). Except for certain provisions, the Tax Act is effective for tax years beginning on or after January 1, 2018. As a fiscal year U.S. taxpayer with an October 31 fiscal year end, the majority of the new provisions, such as eliminating the domestic manufacturing deduction, creating new taxes on certain foreign sourced income and introducing new limitations on certain business deductions, will not apply until our 2019 fiscal year. For fiscal 2018 and effective in the first fiscal quarter, the most significant impacts include: lowering of the U.S. federal corporate income tax rate; remeasuring certain net deferred tax assets and liabilities; and requiring the transition tax on the deemed repatriation of certain foreign earnings. In the first quarter of fiscal 2018, we recorded $1.7 million in one-time, non-cash charges related to the revaluation of our net deferred tax assets (approximately $1.4 million) and the transition tax on the deemed repatriation of foreign earnings (approximately $0.3 million). For fiscal year 2018 we are estimating an effective consolidated rate of 26.0% based primarily on the blending of the historical federal corporate tax rate of 35% and the new federal corporate income tax rate of 21%.</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22, 2017, the SEC issued guidance under Staff Accounting Bulletin No. 118, Income Tax Accounting Implications of the Tax Cuts and Jobs Act (“SAB 118”) allowing taxpayers to record a reasonable estimate of the impact of the U.S. legislation when it does not have the necessary information available, prepared or analyzed (including computations) in reasonable detail to complete its accounting for the change in tax law. In accordance with SAB 118, the estimated income tax charge of $1.7 million represents the Company’s best estimate based on interpretation of the U.S. legislation. As a result, the actual impact on the net deferred tax liability may vary from the estimated amount due to uncertainties in the Company’s preliminary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00" w:right="12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right="80" w:firstLine="259"/>
        <w:spacing w:after="0" w:line="302" w:lineRule="auto"/>
        <w:rPr>
          <w:sz w:val="20"/>
          <w:szCs w:val="20"/>
          <w:color w:val="auto"/>
        </w:rPr>
      </w:pPr>
      <w:r>
        <w:rPr>
          <w:rFonts w:ascii="Arial" w:cs="Arial" w:eastAsia="Arial" w:hAnsi="Arial"/>
          <w:sz w:val="16"/>
          <w:szCs w:val="16"/>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2017 of Calavo Growers, Inc. (we, Calavo, or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On December 8, 2017, we paid a $0.95 per share dividend in the aggregate amount of $16.7 million to shareholders of record on November 17,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firstLine="259"/>
        <w:spacing w:after="0" w:line="279" w:lineRule="auto"/>
        <w:rPr>
          <w:sz w:val="20"/>
          <w:szCs w:val="20"/>
          <w:color w:val="auto"/>
        </w:rPr>
      </w:pPr>
      <w:r>
        <w:rPr>
          <w:rFonts w:ascii="Arial" w:cs="Arial" w:eastAsia="Arial" w:hAnsi="Arial"/>
          <w:sz w:val="17"/>
          <w:szCs w:val="17"/>
          <w:color w:val="auto"/>
        </w:rPr>
        <w:t>We are currently a named defendant in two class action lawsuits filed in Superior state courts in California alleging violations of California wage-and-hour laws, failure to pay overtime, failure to pay for missed meal and rest periods, failure to provide accurate itemized wage statements, failure to pay all wages due at the time of termination or resignation, as well as statutory penalties for violation of the California Labor Code and Minimum Wage Order-2014.</w:t>
      </w:r>
    </w:p>
    <w:p>
      <w:pPr>
        <w:spacing w:after="0" w:line="171"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color w:val="auto"/>
        </w:rPr>
        <w:t>In August 2017, the parties reached a tentative settlement of the case, whereby we agreed to pay $0.4 million to resolve the allegations and avoid further distraction that would result if the litigation continued. The settlement is subject to court approval. The Company recorded $0.4 million as a selling, general and administrative expense in the third quarter of fiscal 2017. The final court approval is scheduled for August 2018 for the aforementioned settlement agreement and there will be no significant change in expense.</w:t>
      </w:r>
    </w:p>
    <w:p>
      <w:pPr>
        <w:spacing w:after="0" w:line="18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tax audits</w:t>
      </w:r>
    </w:p>
    <w:p>
      <w:pPr>
        <w:spacing w:after="0" w:line="225" w:lineRule="exact"/>
        <w:rPr>
          <w:sz w:val="20"/>
          <w:szCs w:val="20"/>
          <w:color w:val="auto"/>
        </w:rPr>
      </w:pPr>
    </w:p>
    <w:p>
      <w:pPr>
        <w:ind w:right="20" w:firstLine="177"/>
        <w:spacing w:after="0" w:line="285" w:lineRule="auto"/>
        <w:rPr>
          <w:sz w:val="20"/>
          <w:szCs w:val="20"/>
          <w:color w:val="auto"/>
        </w:rPr>
      </w:pPr>
      <w:r>
        <w:rPr>
          <w:rFonts w:ascii="Arial" w:cs="Arial" w:eastAsia="Arial" w:hAnsi="Arial"/>
          <w:sz w:val="16"/>
          <w:szCs w:val="16"/>
          <w:color w:val="auto"/>
        </w:rPr>
        <w:t>We conduct business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our fourth fiscal quarter of 2016, we provided a written rebuttal to MFM’s preliminary observations and requested the adoption of a conclusive agreement before the PRODECON (Local Tax Ombudsman) so that a full discussion of the case between us, the MFM and the PRODECON, as appropriate, can lead to a reconsideration of the MFM findings. During our third and fourth fiscal quarters of 2017, several meetings between MFM, PRODECON and us took place and on November 28, 2017, the initial PRODECON process concluded. In April 2018, we filed a second formal agreement before the PRODECON, so that we can continue the discussion of the case between us, the MFM and the PRODECON. During this meeting and discussion period, the statutory period that MFM has in order to issue the tax assessment has been suspended. Currently, we are waiting for the response of the MFM and the PRODECON regarding our next meeting date. We believe we have the legal arguments and documentation to sustain the positions challenged by tax authorities.</w:t>
      </w:r>
    </w:p>
    <w:p>
      <w:pPr>
        <w:spacing w:after="0" w:line="178" w:lineRule="exact"/>
        <w:rPr>
          <w:sz w:val="20"/>
          <w:szCs w:val="20"/>
          <w:color w:val="auto"/>
        </w:rPr>
      </w:pPr>
    </w:p>
    <w:p>
      <w:pPr>
        <w:ind w:right="440" w:firstLine="170"/>
        <w:spacing w:after="0" w:line="342" w:lineRule="auto"/>
        <w:rPr>
          <w:sz w:val="20"/>
          <w:szCs w:val="20"/>
          <w:color w:val="auto"/>
        </w:rPr>
      </w:pPr>
      <w:r>
        <w:rPr>
          <w:rFonts w:ascii="Arial" w:cs="Arial" w:eastAsia="Arial" w:hAnsi="Arial"/>
          <w:sz w:val="16"/>
          <w:szCs w:val="16"/>
          <w:color w:val="auto"/>
        </w:rPr>
        <w:t>Additionally, we also received notice from Mexico's Federal Tax Administration Service, Servicio de Administracion Tributaria (SAT), that our wholly-owned Mexican subsidiary, Calavo de Mexico, is currently under examination related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 during our second fiscal quarter of 2017, which the SAT is in process of analyzing. During our third fiscal quarter of 2017, we requested the adoption of a conclusive agreement before the PRODECON (Local Tax Ombudsman), so that a full discussion of the case between us, the SAT and the PRODECON, as appropriate, can lead to a reconsideration of the SATs findings. During our first fiscal quarter of 2018, we had an initial meeting with officials from the SAT and the PRODECON, which led to a further exchange of supporting information and documentation. We expect that several formal meetings between us, the SAT and the PRODECON will be required before the SAT will reach a conclusion. Note that during the meeting and discussion process, the fiscal year 2013 final assessment (previously expected no later September 2017) has been suspended.</w:t>
      </w:r>
    </w:p>
    <w:p>
      <w:pPr>
        <w:spacing w:after="0" w:line="178" w:lineRule="exact"/>
        <w:rPr>
          <w:sz w:val="20"/>
          <w:szCs w:val="20"/>
          <w:color w:val="auto"/>
        </w:rPr>
      </w:pPr>
    </w:p>
    <w:p>
      <w:pPr>
        <w:ind w:right="20" w:firstLine="210"/>
        <w:spacing w:after="0" w:line="277" w:lineRule="auto"/>
        <w:rPr>
          <w:sz w:val="20"/>
          <w:szCs w:val="20"/>
          <w:color w:val="auto"/>
        </w:rPr>
      </w:pPr>
      <w:r>
        <w:rPr>
          <w:rFonts w:ascii="Arial" w:cs="Arial" w:eastAsia="Arial" w:hAnsi="Arial"/>
          <w:sz w:val="18"/>
          <w:szCs w:val="18"/>
          <w:color w:val="auto"/>
        </w:rPr>
        <w:t>We believe that the ultimate resolution of these matters is unlikely to have a material effect on our consolidated financial position, results of operations and cash flows.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following table summarizes our net sales by business segment for each of the three and six months ended April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60" w:type="dxa"/>
            <w:vAlign w:val="bottom"/>
            <w:gridSpan w:val="6"/>
          </w:tcPr>
          <w:p>
            <w:pPr>
              <w:jc w:val="right"/>
              <w:ind w:right="290"/>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4"/>
                <w:szCs w:val="14"/>
                <w:color w:val="auto"/>
              </w:rPr>
            </w:pPr>
          </w:p>
        </w:tc>
        <w:tc>
          <w:tcPr>
            <w:tcW w:w="3060" w:type="dxa"/>
            <w:vAlign w:val="bottom"/>
            <w:gridSpan w:val="8"/>
          </w:tcPr>
          <w:p>
            <w:pPr>
              <w:ind w:left="46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8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$ 137,935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$ 155,623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$ 260,720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267,682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40,950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RFG</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104,557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7.0 %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97,702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210,663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7.8 %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195,409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$ 264,405</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$ 270,162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$ 512,333</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496,716</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a percentage of net sales:</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1760" w:type="dxa"/>
            <w:vAlign w:val="bottom"/>
            <w:gridSpan w:val="2"/>
          </w:tcPr>
          <w:p>
            <w:pPr>
              <w:jc w:val="right"/>
              <w:ind w:right="730"/>
              <w:spacing w:after="0"/>
              <w:rPr>
                <w:sz w:val="20"/>
                <w:szCs w:val="20"/>
                <w:color w:val="auto"/>
              </w:rPr>
            </w:pPr>
            <w:r>
              <w:rPr>
                <w:rFonts w:ascii="Arial" w:cs="Arial" w:eastAsia="Arial" w:hAnsi="Arial"/>
                <w:sz w:val="18"/>
                <w:szCs w:val="18"/>
                <w:color w:val="auto"/>
              </w:rPr>
              <w:t>52.2 %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57.6 %</w:t>
            </w:r>
          </w:p>
        </w:tc>
        <w:tc>
          <w:tcPr>
            <w:tcW w:w="1780" w:type="dxa"/>
            <w:vAlign w:val="bottom"/>
            <w:gridSpan w:val="2"/>
          </w:tcPr>
          <w:p>
            <w:pPr>
              <w:jc w:val="right"/>
              <w:ind w:right="730"/>
              <w:spacing w:after="0"/>
              <w:rPr>
                <w:sz w:val="20"/>
                <w:szCs w:val="20"/>
                <w:color w:val="auto"/>
              </w:rPr>
            </w:pPr>
            <w:r>
              <w:rPr>
                <w:rFonts w:ascii="Arial" w:cs="Arial" w:eastAsia="Arial" w:hAnsi="Arial"/>
                <w:sz w:val="18"/>
                <w:szCs w:val="18"/>
                <w:color w:val="auto"/>
              </w:rPr>
              <w:t>50.9 %</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53.9 %</w:t>
            </w: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17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8.3 %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7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8.0 %</w:t>
            </w: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6.8 %</w:t>
            </w: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RFG</w:t>
            </w:r>
          </w:p>
        </w:tc>
        <w:tc>
          <w:tcPr>
            <w:tcW w:w="1760" w:type="dxa"/>
            <w:vAlign w:val="bottom"/>
            <w:gridSpan w:val="2"/>
          </w:tcPr>
          <w:p>
            <w:pPr>
              <w:jc w:val="right"/>
              <w:ind w:right="730"/>
              <w:spacing w:after="0"/>
              <w:rPr>
                <w:sz w:val="20"/>
                <w:szCs w:val="20"/>
                <w:color w:val="auto"/>
              </w:rPr>
            </w:pPr>
            <w:r>
              <w:rPr>
                <w:rFonts w:ascii="Arial" w:cs="Arial" w:eastAsia="Arial" w:hAnsi="Arial"/>
                <w:sz w:val="18"/>
                <w:szCs w:val="18"/>
                <w:color w:val="auto"/>
              </w:rPr>
              <w:t>39.5 %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36.2 %</w:t>
            </w:r>
          </w:p>
        </w:tc>
        <w:tc>
          <w:tcPr>
            <w:tcW w:w="1780" w:type="dxa"/>
            <w:vAlign w:val="bottom"/>
            <w:gridSpan w:val="2"/>
          </w:tcPr>
          <w:p>
            <w:pPr>
              <w:jc w:val="right"/>
              <w:ind w:right="730"/>
              <w:spacing w:after="0"/>
              <w:rPr>
                <w:sz w:val="20"/>
                <w:szCs w:val="20"/>
                <w:color w:val="auto"/>
              </w:rPr>
            </w:pPr>
            <w:r>
              <w:rPr>
                <w:rFonts w:ascii="Arial" w:cs="Arial" w:eastAsia="Arial" w:hAnsi="Arial"/>
                <w:sz w:val="18"/>
                <w:szCs w:val="18"/>
                <w:color w:val="auto"/>
              </w:rPr>
              <w:t>41.1 %</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39.3 %</w:t>
            </w:r>
          </w:p>
        </w:tc>
      </w:tr>
      <w:tr>
        <w:trPr>
          <w:trHeight w:val="217"/>
        </w:trPr>
        <w:tc>
          <w:tcPr>
            <w:tcW w:w="3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8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top w:val="single" w:sz="8" w:color="CCEEFF"/>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color w:val="auto"/>
        </w:rPr>
        <w:t>Net sales for the three months ended April 30, 2018, compared to the corresponding period in fiscal 2017, decreased by $5.8 million, or approximately 2.1%. The decrease in sales, when compared to the same corresponding prior year periods, was primarily related to the decline in the fresh segment, partially offset by gains in Calavo Foods and RFG. Net sales for the six months ended April 30, 2018, compared to the corresponding period in fiscal 2017, increased by $15.6 million, or approximately 3.1%. The increase in sales, when compared to the same corresponding prior year periods, was primarily related to the growth in the Calavo Foods and RFG segments.</w:t>
      </w:r>
    </w:p>
    <w:p>
      <w:pPr>
        <w:spacing w:after="0" w:line="178"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color w:val="auto"/>
        </w:rPr>
        <w:t>For both the quarter and the six months ended April 30, 2018, Calavo Foods had our largest percentage increases in sales, followed by our RFG segment, which was offset by a decrease in our Fresh products segment, as shown above. The increase in Calavo Foods sales was due primarily to increased sales of our prepared avocado products, which was partially offset by decreased sales of salsa products. The increase in RFG sales was due primarily to increased sales from fresh prepared food, fresh-cut fruit and vegetable products. The decrease in Fresh products sales was due primarily to decreased sales of avocados. See discussion below for further details.</w:t>
      </w:r>
    </w:p>
    <w:p>
      <w:pPr>
        <w:spacing w:after="0" w:line="178" w:lineRule="exact"/>
        <w:rPr>
          <w:sz w:val="20"/>
          <w:szCs w:val="20"/>
          <w:color w:val="auto"/>
        </w:rPr>
      </w:pPr>
    </w:p>
    <w:p>
      <w:pPr>
        <w:ind w:right="420" w:firstLine="259"/>
        <w:spacing w:after="0" w:line="342" w:lineRule="auto"/>
        <w:rPr>
          <w:sz w:val="20"/>
          <w:szCs w:val="20"/>
          <w:color w:val="auto"/>
        </w:rPr>
      </w:pPr>
      <w:r>
        <w:rPr>
          <w:rFonts w:ascii="Arial" w:cs="Arial" w:eastAsia="Arial" w:hAnsi="Arial"/>
          <w:sz w:val="16"/>
          <w:szCs w:val="16"/>
          <w:color w:val="auto"/>
        </w:rPr>
        <w:t>All three segments of our business are subject to seasonal trends which can impact the volume and/or quality of fruit sourced in any particular quarter. All intercompany sales are eliminated in our consolidated results of operations.</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Second Quarter 2018 vs. Second Quarter 2017</w:t>
      </w:r>
    </w:p>
    <w:p>
      <w:pPr>
        <w:spacing w:after="0" w:line="225" w:lineRule="exact"/>
        <w:rPr>
          <w:sz w:val="20"/>
          <w:szCs w:val="20"/>
          <w:color w:val="auto"/>
        </w:rPr>
      </w:pPr>
    </w:p>
    <w:p>
      <w:pPr>
        <w:jc w:val="both"/>
        <w:ind w:right="240" w:firstLine="259"/>
        <w:spacing w:after="0" w:line="286" w:lineRule="auto"/>
        <w:rPr>
          <w:sz w:val="20"/>
          <w:szCs w:val="20"/>
          <w:color w:val="auto"/>
        </w:rPr>
      </w:pPr>
      <w:r>
        <w:rPr>
          <w:rFonts w:ascii="Arial" w:cs="Arial" w:eastAsia="Arial" w:hAnsi="Arial"/>
          <w:sz w:val="17"/>
          <w:szCs w:val="17"/>
          <w:color w:val="auto"/>
        </w:rPr>
        <w:t>Net sales delivered by the Fresh products business decreased by approximately $17.7 million, or 11.4%, for the second quarter of fiscal 2018, when compared to the same period for fiscal 2017. This decrease in Fresh product sales during the second quarter of fiscal 2018 was primarily related to decreased sales of avocados and tomatoes.</w:t>
      </w:r>
    </w:p>
    <w:p>
      <w:pPr>
        <w:spacing w:after="0" w:line="166"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Sales of avocados decreased $15.4 million, or 10.8%, for the second quarter of 2018, when compared to the same prior year period. This decrease in avocado sales was primarily due to a 20% decrease in the average sales price per carton. The decrease in sales price was partially offset by a 9.3 million pound, or 11%, increase in the volume of avocados sold during the quarter.</w:t>
      </w:r>
    </w:p>
    <w:p>
      <w:pPr>
        <w:spacing w:after="0" w:line="187" w:lineRule="exact"/>
        <w:rPr>
          <w:sz w:val="20"/>
          <w:szCs w:val="20"/>
          <w:color w:val="auto"/>
        </w:rPr>
      </w:pPr>
    </w:p>
    <w:p>
      <w:pPr>
        <w:jc w:val="both"/>
        <w:ind w:right="80" w:firstLine="259"/>
        <w:spacing w:after="0" w:line="286" w:lineRule="auto"/>
        <w:rPr>
          <w:sz w:val="20"/>
          <w:szCs w:val="20"/>
          <w:color w:val="auto"/>
        </w:rPr>
      </w:pPr>
      <w:r>
        <w:rPr>
          <w:rFonts w:ascii="Arial" w:cs="Arial" w:eastAsia="Arial" w:hAnsi="Arial"/>
          <w:sz w:val="17"/>
          <w:szCs w:val="17"/>
          <w:color w:val="auto"/>
        </w:rPr>
        <w:t>Sales of tomatoes decreased to $7.7 million for the second quarter of fiscal 2018, compared to $11.0 million for the same period for fiscal 2017. The decrease in sales for tomatoes is primarily due to an approximately 34% decrease in the volume of cartons sold, which was partially offset by an increase in the average sales price per carton.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Six Months Ended 2018 vs. Six Months Ended 2017</w:t>
      </w:r>
    </w:p>
    <w:p>
      <w:pPr>
        <w:spacing w:after="0" w:line="225" w:lineRule="exact"/>
        <w:rPr>
          <w:sz w:val="20"/>
          <w:szCs w:val="20"/>
          <w:color w:val="auto"/>
        </w:rPr>
      </w:pPr>
    </w:p>
    <w:p>
      <w:pPr>
        <w:jc w:val="both"/>
        <w:ind w:right="120" w:firstLine="259"/>
        <w:spacing w:after="0" w:line="312" w:lineRule="auto"/>
        <w:rPr>
          <w:sz w:val="20"/>
          <w:szCs w:val="20"/>
          <w:color w:val="auto"/>
        </w:rPr>
      </w:pPr>
      <w:r>
        <w:rPr>
          <w:rFonts w:ascii="Arial" w:cs="Arial" w:eastAsia="Arial" w:hAnsi="Arial"/>
          <w:sz w:val="16"/>
          <w:szCs w:val="16"/>
          <w:color w:val="auto"/>
        </w:rPr>
        <w:t>Net sales delivered by the Fresh products business decreased by approximately $7.0 million, or 2.6%, for the six months ended 2018, when compared to the same period for fiscal 2017. This decrease in Fresh product sales during the six months ended 2018 was primarily related to decreased sales of avocados, partially offset by an increased sales in tomatoes.</w:t>
      </w:r>
    </w:p>
    <w:p>
      <w:pPr>
        <w:spacing w:after="0" w:line="147" w:lineRule="exact"/>
        <w:rPr>
          <w:sz w:val="20"/>
          <w:szCs w:val="20"/>
          <w:color w:val="auto"/>
        </w:rPr>
      </w:pPr>
    </w:p>
    <w:p>
      <w:pPr>
        <w:ind w:right="20" w:firstLine="259"/>
        <w:spacing w:after="0" w:line="286" w:lineRule="auto"/>
        <w:rPr>
          <w:sz w:val="20"/>
          <w:szCs w:val="20"/>
          <w:color w:val="auto"/>
        </w:rPr>
      </w:pPr>
      <w:r>
        <w:rPr>
          <w:rFonts w:ascii="Arial" w:cs="Arial" w:eastAsia="Arial" w:hAnsi="Arial"/>
          <w:sz w:val="17"/>
          <w:szCs w:val="17"/>
          <w:color w:val="auto"/>
        </w:rPr>
        <w:t>Sales of avocados decreased $11.6 million, or 4.7%, for the six months ended April 30, 2018, when compared to the same prior year period. This decrease in avocado sales was primarily due to a 11% decrease in the average sales price per carton, partially offset by 11.6 million pounds, or a 7.4% increase in the volume of avocados sold during the year.</w:t>
      </w:r>
    </w:p>
    <w:p>
      <w:pPr>
        <w:spacing w:after="0" w:line="166"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Sales of tomatoes increased to $19.5 million for the six months ended April 30, 2018, compared to $16.2 million for the same period for fiscal 2017. The increase in sales for tomatoes is primarily due to an approximately 29% increase in the average sales price per carton, partially offset by 6% decrease in the volume of cartons sold.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Second Quarter 2018 vs. Second Quarter 2017</w:t>
      </w:r>
    </w:p>
    <w:p>
      <w:pPr>
        <w:spacing w:after="0" w:line="225"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Sales for Calavo Foods for the quarter ended April 30, 2018, when compared to the same period for fiscal 2017, increased $5.1 million, or 30.1%. Sales of prepared avocado products increased by approximately $5.3 million, or 33.3%, for the quarter ended April 30, 2018, when compared to the same prior year period, resulting from increases in both the average sales price per pound and the total volume of pounds sold during the quarter. Partially offsetting this gain were sales of salsa products, which decreased by approximately $0.2 million during the quarter.</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Six Months Ended 2018 vs. Six Months Ended 2017</w:t>
      </w:r>
    </w:p>
    <w:p>
      <w:pPr>
        <w:spacing w:after="0" w:line="225"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Sales for Calavo Foods for the six months ended April 30, 2018, when compared to the same period for fiscal 2017, increased $7.3 million, or 21.8%. Sales of prepared avocado products increased by approximately $7.8 million, or 24.5%, for the six months ended April 30, 2018, when compared to the same prior year period, resulting from increases in both the average sales price per pound and the total volume of pounds sold. Partially offsetting this gain were sales of salsa products, which decreased by approximately $0.4 million during the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Second Quarter 2018 vs. Second Quarter 2017</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Sales for RFG for the quarter ended April 30, 2018, when compared to the same period for fiscal 2017, increased $6.9 million, or 7.0%. The overall increase in sales is primarily due to higher sales volume from expanded retail partnerships in multiple geographies, most notably in a few regions in which the Company has added production capacity.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Six Months Ended 2018 vs. Six Months Ended 2017</w:t>
      </w:r>
    </w:p>
    <w:p>
      <w:pPr>
        <w:spacing w:after="0" w:line="225" w:lineRule="exact"/>
        <w:rPr>
          <w:sz w:val="20"/>
          <w:szCs w:val="20"/>
          <w:color w:val="auto"/>
        </w:rPr>
      </w:pPr>
    </w:p>
    <w:p>
      <w:pPr>
        <w:ind w:right="300" w:firstLine="259"/>
        <w:spacing w:after="0" w:line="312" w:lineRule="auto"/>
        <w:rPr>
          <w:sz w:val="20"/>
          <w:szCs w:val="20"/>
          <w:color w:val="auto"/>
        </w:rPr>
      </w:pPr>
      <w:r>
        <w:rPr>
          <w:rFonts w:ascii="Arial" w:cs="Arial" w:eastAsia="Arial" w:hAnsi="Arial"/>
          <w:sz w:val="16"/>
          <w:szCs w:val="16"/>
          <w:color w:val="auto"/>
        </w:rPr>
        <w:t>Sales for RFG for the six months ended April 30, 2018, when compared to the same period for fiscal 2017, increased $15.3 million, or 7.8%. The overall increase in sales is primarily due to higher sales volume from expanded retail partnerships in multiple geographies, most notably in a few regions in which the Company has added production capacity.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and six months ended April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Three months ended April 30,</w:t>
            </w:r>
          </w:p>
        </w:tc>
        <w:tc>
          <w:tcPr>
            <w:tcW w:w="260" w:type="dxa"/>
            <w:vAlign w:val="bottom"/>
          </w:tcPr>
          <w:p>
            <w:pPr>
              <w:spacing w:after="0"/>
              <w:rPr>
                <w:sz w:val="14"/>
                <w:szCs w:val="14"/>
                <w:color w:val="auto"/>
              </w:rPr>
            </w:pPr>
          </w:p>
        </w:tc>
        <w:tc>
          <w:tcPr>
            <w:tcW w:w="2620" w:type="dxa"/>
            <w:vAlign w:val="bottom"/>
            <w:gridSpan w:val="7"/>
          </w:tcPr>
          <w:p>
            <w:pPr>
              <w:ind w:left="34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$ 15,120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6"/>
              </w:rPr>
              <w:t>$ 23,797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$ 29,377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$ 31,648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RFG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9,297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35.6 %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15,375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15,837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gross profit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$ 31,969</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$ 36,253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$ 58,279</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$ 58,177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 percentages:</w:t>
            </w:r>
          </w:p>
        </w:tc>
        <w:tc>
          <w:tcPr>
            <w:tcW w:w="2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220" w:type="dxa"/>
            <w:vAlign w:val="bottom"/>
          </w:tcPr>
          <w:p>
            <w:pPr>
              <w:jc w:val="right"/>
              <w:ind w:right="490"/>
              <w:spacing w:after="0"/>
              <w:rPr>
                <w:sz w:val="20"/>
                <w:szCs w:val="20"/>
                <w:color w:val="auto"/>
              </w:rPr>
            </w:pPr>
            <w:r>
              <w:rPr>
                <w:rFonts w:ascii="Arial" w:cs="Arial" w:eastAsia="Arial" w:hAnsi="Arial"/>
                <w:sz w:val="18"/>
                <w:szCs w:val="18"/>
                <w:color w:val="auto"/>
              </w:rPr>
              <w:t>11.0 %</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15.3 %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11.3 %</w:t>
            </w:r>
          </w:p>
        </w:tc>
        <w:tc>
          <w:tcPr>
            <w:tcW w:w="120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16"/>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2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34.5 %</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33.3 %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33.0 %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31.8 %</w:t>
            </w: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RFG</w:t>
            </w:r>
          </w:p>
        </w:tc>
        <w:tc>
          <w:tcPr>
            <w:tcW w:w="2220" w:type="dxa"/>
            <w:vAlign w:val="bottom"/>
          </w:tcPr>
          <w:p>
            <w:pPr>
              <w:jc w:val="right"/>
              <w:ind w:right="490"/>
              <w:spacing w:after="0"/>
              <w:rPr>
                <w:sz w:val="20"/>
                <w:szCs w:val="20"/>
                <w:color w:val="auto"/>
              </w:rPr>
            </w:pPr>
            <w:r>
              <w:rPr>
                <w:rFonts w:ascii="Arial" w:cs="Arial" w:eastAsia="Arial" w:hAnsi="Arial"/>
                <w:sz w:val="18"/>
                <w:szCs w:val="18"/>
                <w:color w:val="auto"/>
              </w:rPr>
              <w:t>8.9 %</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7.0 %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7.3 %</w:t>
            </w:r>
          </w:p>
        </w:tc>
        <w:tc>
          <w:tcPr>
            <w:tcW w:w="120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16"/>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12.1 %</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11.4 %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right="180" w:firstLine="259"/>
        <w:spacing w:after="0" w:line="255" w:lineRule="auto"/>
        <w:rPr>
          <w:sz w:val="20"/>
          <w:szCs w:val="20"/>
          <w:color w:val="auto"/>
        </w:rPr>
      </w:pPr>
      <w:r>
        <w:rPr>
          <w:rFonts w:ascii="Arial" w:cs="Arial" w:eastAsia="Arial" w:hAnsi="Arial"/>
          <w:sz w:val="18"/>
          <w:szCs w:val="18"/>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decreased by approximately $4.3 million, or 11.8%, for the second quarter of fiscal 2018, when compared to the same period for fiscal 2017. The decrease was primarily attributable to gross profit decrease in the Fresh products segment, partially offset by an increase in our RFG segment and Calavo Foods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During our three months ended April 30, 2018, as compared to the same prior year period, the decrease in our Fresh products segment gross profit percentage was the result of decreased profit for avocados and tomatoes. For the second quarter ended April 30, 2018, compared to the same prior year period, the gross profit percentage for avocados decreased to 11.0% in 2018 from 15.8% in 2017. The decrease was primarily related to the unusual market supply conditions experienced during the second quarter last year, as our level of profitability in the second quarter of 2018 was otherwise strong in comparison to most other historical periods. Freight costs also increased compared to last year’s second quarter.</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addition, the U.S. Dollar to Mexican Peso exchange rate was weaker in the second quarter 2018, when compared to the same prior year period. Note that any significant fluctuations in the exchange rate between the U.S. Dollar and the Mexican Peso may have a material impact on future gross profits for our Fresh products segment.</w:t>
      </w:r>
    </w:p>
    <w:p>
      <w:pPr>
        <w:spacing w:after="0" w:line="166"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For the three months ended April 30, 2018, we generated gross profit of $0.8 million from tomato sales, down from $1.2 million in the corresponding prior year period. The decrease in tomato gross profit was due primarily to the year-over-year reduction in sales described in more detail earlier.</w:t>
      </w:r>
    </w:p>
    <w:p>
      <w:pPr>
        <w:spacing w:after="0" w:line="18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During our six months ended April 30, 2018, as compared to the same prior year period, the decrease in our Fresh products segment gross profit percentage was the result of decreased profit for avocados, partially offset by an increase in tomatoes. For the six months ended April 30, 2018, compared to the same prior year period, the gross profit percentage for avocados decreased to 11.3% in 2018 from 12.3% in 2017. The decrease during the six months of 2018 was primarily related to the unusual market supply conditions experienced last year and higher year-over-year freight costs. In addition, the U.S. Dollar to Mexican Peso exchange rate was weaker in the first six months of fiscal 2018, when compared to the same prior year period. Note that any significant fluctuations in the exchange rate between the U.S. Dollar and the Mexican Peso may have a material impact on future gross profits for our Fresh products segment.</w:t>
      </w:r>
    </w:p>
    <w:p>
      <w:pPr>
        <w:spacing w:after="0" w:line="179"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For the six months ended April 30, 2018 we generated gross profit of $2.1 million from tomato sales, up from $1.3 million in the corresponding prior year period. The increase in tomato gross profit was due primarily to the year-over-year increase in sales described in more detail earlier.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Calavo Foods gross profit percentage increased for the three and six months ended April 30, 2018, when compared to the same periods for fiscal 2017. The increase in Calavo Foods gross profit percentage was due primarily to increased gross profit of our prepared avocado products, which was partially offset by decreased gross profit of salsa products. The Calavo Foods segment gross profit percentage increased to 34.5% and 33.0% of net sales, during our three and six months ended April 30, 2018 compared to 33.3% and 31.8% during the same prior year periods. The increase was primarily due to a higher volume of pounds sold and higher average selling price for prepared avocado products, partially offset by higher fruit costs and the impact of a weaker exchange rate on production costs for the three and six months ended April 30, 2018, as compared to the same prior year periods. Note that any significant fluctuation in the cost of fruit used in the production process or the exchange rate between the U.S. Dollar and the Mexican Peso may have a material impact on future gross profit for our Calavo Foods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RFG’s gross profit percentage for the quarter ended April 30, 2018 was 8.9%, compared to 7.0% in the same prior year period. RFG’s gross profit percentage for the six months ended April 30, 2018 was 7.3%, compared to 8.1% in the same prior year period. The gross profit improvement in the fiscal second quarter of 2018 was due primarily to manufacturing efficiencies generated during the most recent three months across the segment’s manufacturing footprint, as well as lower raw material costs. The lower profit for the six months ended April 30, 2018, as compared to the same prior year period, was due to the costs associated with newer facilities, including our Riverside facility and an unusual circumstance at our Houston facility (described more fully in our first quarter disclosure).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 April 30,</w:t>
            </w:r>
          </w:p>
        </w:tc>
        <w:tc>
          <w:tcPr>
            <w:tcW w:w="60" w:type="dxa"/>
            <w:vAlign w:val="bottom"/>
          </w:tcPr>
          <w:p>
            <w:pPr>
              <w:spacing w:after="0"/>
              <w:rPr>
                <w:sz w:val="14"/>
                <w:szCs w:val="14"/>
                <w:color w:val="auto"/>
              </w:rPr>
            </w:pPr>
          </w:p>
        </w:tc>
        <w:tc>
          <w:tcPr>
            <w:tcW w:w="2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Six months ended April 30,</w:t>
            </w:r>
          </w:p>
        </w:tc>
      </w:tr>
      <w:tr>
        <w:trPr>
          <w:trHeight w:val="142"/>
        </w:trPr>
        <w:tc>
          <w:tcPr>
            <w:tcW w:w="3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w w:val="89"/>
              </w:rPr>
              <w:t>Change</w:t>
            </w:r>
          </w:p>
        </w:tc>
        <w:tc>
          <w:tcPr>
            <w:tcW w:w="7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89"/>
              </w:rPr>
              <w:t>Change</w:t>
            </w:r>
          </w:p>
        </w:tc>
        <w:tc>
          <w:tcPr>
            <w:tcW w:w="7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258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$ 12,875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$ 15,426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$ 28,392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$ 29,252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7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7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right="120" w:firstLine="315"/>
        <w:spacing w:after="0" w:line="291" w:lineRule="auto"/>
        <w:rPr>
          <w:sz w:val="20"/>
          <w:szCs w:val="20"/>
          <w:color w:val="auto"/>
        </w:rPr>
      </w:pPr>
      <w:r>
        <w:rPr>
          <w:rFonts w:ascii="Arial" w:cs="Arial" w:eastAsia="Arial" w:hAnsi="Arial"/>
          <w:sz w:val="16"/>
          <w:szCs w:val="16"/>
          <w:color w:val="auto"/>
        </w:rPr>
        <w:t>Selling, general and administrative expenses of $12.9 million for the three months ended April 30, 2018 include costs of marketing and advertising, sales expenses (including broker commissions) and other general and administrative</w:t>
      </w:r>
    </w:p>
    <w:p>
      <w:pPr>
        <w:ind w:right="220"/>
        <w:spacing w:after="0" w:line="270" w:lineRule="auto"/>
        <w:rPr>
          <w:sz w:val="20"/>
          <w:szCs w:val="20"/>
          <w:color w:val="auto"/>
        </w:rPr>
      </w:pPr>
      <w:r>
        <w:rPr>
          <w:rFonts w:ascii="Arial" w:cs="Arial" w:eastAsia="Arial" w:hAnsi="Arial"/>
          <w:sz w:val="17"/>
          <w:szCs w:val="17"/>
          <w:color w:val="auto"/>
        </w:rPr>
        <w:t>costs. Selling, general and administrative expenses decreased $2.6 million, or 16.5%, for the three months ended April 30, 2018, when compared to the same period for fiscal 2017. This decrease was primarily related to a decrease in accrued management bonuses (approximately $1.9 million) and a decrease in bad debt (approximately $1.4 million). Partially offsetting this decrease was an increase of salaries and benefits ($0.4 million of costs related to the vesting of stock grants earned by certain members of the senior management team, as well as $0.2 million due in part to higher head count) for the three months ended April 30, 2018, when compared to the same period for fiscal 2017.</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Selling, general and administrative expenses of $28.4 million for the six months ended April 30, 2018 include costs of marketing and advertising, sales expenses (including broker commissions) and other general and administrative costs, as well as $0.9 million of management transition related expenses. Selling, general and administrative expenses decreased $0.9 million, or 2.9%, for the six months ended April 30, 2018, when compared to the same period for fiscal 2017. This decrease was primarily related to a decrease in accrued management bonuses (approximately $1.9 million) and a decrease in bad debt (approximately $1.4 million). Partially offsetting this decrease was an increase in salaries and benefits ($1.6 million of costs related to the vesting of stock grants earned by certain members of the senior management team over the past three fiscal years, as well as $0.9 million due in part to higher headcount) for the six months ended April 30, 2018, when compared to the same period for fiscal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8"/>
              </w:rPr>
              <w:t>Three months ended April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Six months ended April 30,</w:t>
            </w:r>
          </w:p>
        </w:tc>
      </w:tr>
      <w:tr>
        <w:trPr>
          <w:trHeight w:val="142"/>
        </w:trPr>
        <w:tc>
          <w:tcPr>
            <w:tcW w:w="3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22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Change</w:t>
            </w: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21"/>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tcPr>
          <w:p>
            <w:pPr>
              <w:jc w:val="center"/>
              <w:ind w:right="259"/>
              <w:spacing w:after="0" w:line="142" w:lineRule="exact"/>
              <w:rPr>
                <w:sz w:val="20"/>
                <w:szCs w:val="20"/>
                <w:color w:val="auto"/>
              </w:rPr>
            </w:pPr>
            <w:r>
              <w:rPr>
                <w:rFonts w:ascii="Arial" w:cs="Arial" w:eastAsia="Arial" w:hAnsi="Arial"/>
                <w:sz w:val="14"/>
                <w:szCs w:val="14"/>
                <w:b w:val="1"/>
                <w:bCs w:val="1"/>
                <w:color w:val="auto"/>
                <w:w w:val="93"/>
              </w:rPr>
              <w:t>Change</w:t>
            </w: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8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703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2,052.8%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942"/>
              <w:spacing w:after="0"/>
              <w:rPr>
                <w:sz w:val="20"/>
                <w:szCs w:val="20"/>
                <w:color w:val="auto"/>
              </w:rPr>
            </w:pPr>
            <w:r>
              <w:rPr>
                <w:rFonts w:ascii="Arial" w:cs="Arial" w:eastAsia="Arial" w:hAnsi="Arial"/>
                <w:sz w:val="18"/>
                <w:szCs w:val="18"/>
                <w:color w:val="auto"/>
              </w:rPr>
              <w:t>(0.0) %</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0.1 %</w:t>
            </w:r>
          </w:p>
        </w:tc>
        <w:tc>
          <w:tcPr>
            <w:tcW w:w="9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Other income (expense), net includes income from unconsolidated subsidiaries, dividend income, as well as certain other transactions that are outside of the normal course of operations. The increase for the six months ended April 30, 2018, compared to the same prior year periods are primarily due to an increase of income from our unconsolidated subsidiary Don Memo (See Note 4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7"/>
          </w:tcPr>
          <w:p>
            <w:pPr>
              <w:ind w:left="160"/>
              <w:spacing w:after="0"/>
              <w:rPr>
                <w:sz w:val="20"/>
                <w:szCs w:val="20"/>
                <w:color w:val="auto"/>
              </w:rPr>
            </w:pPr>
            <w:r>
              <w:rPr>
                <w:rFonts w:ascii="Arial" w:cs="Arial" w:eastAsia="Arial" w:hAnsi="Arial"/>
                <w:sz w:val="14"/>
                <w:szCs w:val="14"/>
                <w:b w:val="1"/>
                <w:bCs w:val="1"/>
                <w:color w:val="auto"/>
              </w:rPr>
              <w:t>Three months ended April 30,</w:t>
            </w:r>
          </w:p>
        </w:tc>
        <w:tc>
          <w:tcPr>
            <w:tcW w:w="60" w:type="dxa"/>
            <w:vAlign w:val="bottom"/>
          </w:tcPr>
          <w:p>
            <w:pPr>
              <w:spacing w:after="0"/>
              <w:rPr>
                <w:sz w:val="14"/>
                <w:szCs w:val="14"/>
                <w:color w:val="auto"/>
              </w:rPr>
            </w:pPr>
          </w:p>
        </w:tc>
        <w:tc>
          <w:tcPr>
            <w:tcW w:w="254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7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$ 4,764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(37.3)%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$ 7,603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$ 9,066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$ 10,164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Effective tax rate</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25.4 %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37.0 %</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30.1 %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 xml:space="preserve">Our tax provision is determined using an estimated annual effective tax rate and adjusted for discrete taxable events that may occur during the quarter. In the first quarter of fiscal 2018, we recorded $1.7 million in one-time, non-cash charges related to the revaluation of our net deferred tax assets (approx. $1.4 million) and the transition tax on the deemed repatriation of foreign earnings (approx. $0.3 million). In addition, we recorded an income tax benefit of approximately $0.4 million and $0.3 million for the first quarters ended in fiscal 2018 and 2017, respectively, pursuant to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We recognize the effects of tax legislation</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 the period in which the law is enacted. Our deferred tax assets and liabilities are remeasured using enacted tax rates expected to apply to taxable income in the years we estimate the related temporary differences to reverse.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Cash provided by operating activities was $21.2 million for the six months ended April 30, 2018, compared to cash provided by operations of $23.3 million for the similar period in fiscal 2017. Operating cash flows for the six months ended April 30, 2018 reflect our net income of $21.0 million, non-cash activities (depreciation and amortization, stock compensation expense, deferred taxes and income from unconsolidated entities) of $10.5 million and a net decrease in the non-cash components of our operating capital of approximately $10.3 million.</w:t>
      </w:r>
    </w:p>
    <w:p>
      <w:pPr>
        <w:spacing w:after="0" w:line="18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working capital decrease includes an increase in inventory of $8.3 million, a net decrease in accounts payable and accrued expenses of $8.1 million, an increase in accounts receivable of $7.2 million, an increase in other assets of $2.3 million, and an increase in prepaid expenses and other current assets of $0.2 million, partially offset by an increase in payable to growers of $10.9 million, an increase in income taxes payable of $1.9 million, a decrease in advances to suppliers of $1.6 million, and a decrease in income taxes receivable of $1.4 million.</w:t>
      </w:r>
    </w:p>
    <w:p>
      <w:pPr>
        <w:spacing w:after="0" w:line="188"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The decrease in accounts payable and accrued expenses is primarily related to the payment of prior year’s performance bonuses. The increase in inventory is primarily related to an increase in the value of fresh fruit on hand at April 30, 2018. This was primarily driven by an increase in the per unit value of inventory on hand and the volume of California avocados purchased during our second fiscal quarter of 2018, as compared to October 2017. The increase in our accounts receivable, as of April 30, 2018 when compared to October 31, 2017, primarily reflects higher sales recorded in the month of April 2018, as compared to October 2017. The increase in other assets is due to an increase in Mexican IVA tax receivable (see Note 11 to our consolidated condensed financial statements). The increase in payable to growers primarily reflects an increase in our Mexican and Californian avocado grower liability. The decrease in income taxes receivable and the increase in income taxes payable is primarily related to the taxes on current year earnings and the change in the tax rate due to the passage of the Tax Cuts and Jobs Act legislation that passed December 22, 2017. The decrease in advances to suppliers primarily reflects less pre-season advances outstanding to our tomato growers in April 2018, compared to October 2017.</w:t>
      </w:r>
    </w:p>
    <w:p>
      <w:pPr>
        <w:spacing w:after="0" w:line="173"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Cash used in investing activities was $8.6 million for the six months ended April 30, 2018, which primarily related to property, plant and equipment purchases of $8.8 million, partially offset by proceeds received from the repayment of the San Rafael note of $0.2 million. For the six months ended April 30, 2017, cash used for investing activities was $38.5 million, which primarily related to expansion projects for RFG segment (including more than $19 million for the purchase of the new Riverside plant) and for the Fresh segment, and an investment in FreshRealm of $4.6 million.</w:t>
      </w:r>
    </w:p>
    <w:p>
      <w:pPr>
        <w:spacing w:after="0" w:line="173" w:lineRule="exact"/>
        <w:rPr>
          <w:sz w:val="20"/>
          <w:szCs w:val="20"/>
          <w:color w:val="auto"/>
        </w:rPr>
      </w:pPr>
    </w:p>
    <w:p>
      <w:pPr>
        <w:jc w:val="both"/>
        <w:ind w:right="80" w:firstLine="259"/>
        <w:spacing w:after="0" w:line="293" w:lineRule="auto"/>
        <w:rPr>
          <w:sz w:val="20"/>
          <w:szCs w:val="20"/>
          <w:color w:val="auto"/>
        </w:rPr>
      </w:pPr>
      <w:r>
        <w:rPr>
          <w:rFonts w:ascii="Arial" w:cs="Arial" w:eastAsia="Arial" w:hAnsi="Arial"/>
          <w:sz w:val="16"/>
          <w:szCs w:val="16"/>
          <w:color w:val="auto"/>
        </w:rPr>
        <w:t>Cash used by financing activities was $16.8 million for the six months ended April 30, 2018, which related principally to the payment of our $16.7 million dividend and the payment of minimum withholding taxes on net share settlement of equity awards of $1.2 million, and partially offset by receipts on our credit facilities totaling $1.0 million and proceeds received for exercise of stock options of $0.1 million. For the six months ended April 30, 2017, cash from financing activities was $11.8 million, which related principally to receipts on our credit facilities totaling $28.5 million, partially offset by the payment of our $15.7 million dividend and for the purchase of the noncontrolling interest of Salsa Lisa of $1.0 million.</w:t>
      </w:r>
    </w:p>
    <w:p>
      <w:pPr>
        <w:spacing w:after="0" w:line="84"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Our principal sources of liquidity are our existing cash balances, cash generated from operations and amounts available for borrowing under our existing Credit Facility. Cash and cash equivalents as of April 30, 2018 and October 31, 2017 totaled $2.4 million and $6.6 million. Our working capital at April 30, 2018 was $24.7 million, compared to $3.7 million at October 31, 2017.</w:t>
      </w:r>
    </w:p>
    <w:p>
      <w:pPr>
        <w:spacing w:after="0" w:line="106" w:lineRule="exact"/>
        <w:rPr>
          <w:sz w:val="20"/>
          <w:szCs w:val="20"/>
          <w:color w:val="auto"/>
        </w:rPr>
      </w:pPr>
    </w:p>
    <w:p>
      <w:pPr>
        <w:ind w:right="80" w:firstLine="259"/>
        <w:spacing w:after="0" w:line="293" w:lineRule="auto"/>
        <w:rPr>
          <w:sz w:val="20"/>
          <w:szCs w:val="20"/>
          <w:color w:val="auto"/>
        </w:rPr>
      </w:pPr>
      <w:r>
        <w:rPr>
          <w:rFonts w:ascii="Arial" w:cs="Arial" w:eastAsia="Arial" w:hAnsi="Arial"/>
          <w:sz w:val="16"/>
          <w:szCs w:val="16"/>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evaluate grower recruitment opportunities and expand relationships with retail and/or foodservice customers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w:t>
      </w:r>
    </w:p>
    <w:p>
      <w:pPr>
        <w:ind w:right="20"/>
        <w:spacing w:after="0" w:line="261" w:lineRule="auto"/>
        <w:rPr>
          <w:sz w:val="20"/>
          <w:szCs w:val="20"/>
          <w:color w:val="auto"/>
        </w:rPr>
      </w:pPr>
      <w:r>
        <w:rPr>
          <w:rFonts w:ascii="Arial" w:cs="Arial" w:eastAsia="Arial" w:hAnsi="Arial"/>
          <w:sz w:val="18"/>
          <w:szCs w:val="18"/>
          <w:color w:val="auto"/>
        </w:rPr>
        <w:t>2.9% and 2.2% at April 30, 2018 and October 31, 2017. Under these credit facilities, we had $21.0 million and $20.0 million outstanding as April 30, 2018 and October 31, 2017.</w:t>
      </w:r>
    </w:p>
    <w:p>
      <w:pPr>
        <w:spacing w:after="0" w:line="184"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7"/>
          <w:szCs w:val="17"/>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such covenants at April 30,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There have been no material changes to our contractual commitments, from those previously disclosed in our Annual Report on Form 10-K for our fiscal year ended October 31, 2017. For a summary of the contractual commitments at October 31, 2017, see Part II, Item 7, in our 2017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See Note 1 to the consolidated condensed financial statements that are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(All amounts in thousands)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0"/>
          </w:tcPr>
          <w:p>
            <w:pPr>
              <w:ind w:left="240"/>
              <w:spacing w:after="0"/>
              <w:rPr>
                <w:sz w:val="20"/>
                <w:szCs w:val="20"/>
                <w:color w:val="auto"/>
              </w:rPr>
            </w:pPr>
            <w:r>
              <w:rPr>
                <w:rFonts w:ascii="Arial" w:cs="Arial" w:eastAsia="Arial" w:hAnsi="Arial"/>
                <w:sz w:val="14"/>
                <w:szCs w:val="14"/>
                <w:b w:val="1"/>
                <w:bCs w:val="1"/>
                <w:color w:val="auto"/>
              </w:rPr>
              <w:t>Expected maturity date April 30,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2022</w:t>
            </w: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Thereafter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Cash and cash equivalents (1)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76,925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Payable to growers (1)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27,373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27,373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27,373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w w:val="98"/>
              </w:rPr>
              <w:t>Current borrowings pursuant to credit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facilities (1)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21,000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21,000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Fixed-rate long-term obligations (2)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4408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6" w:lineRule="exact"/>
        <w:rPr>
          <w:sz w:val="20"/>
          <w:szCs w:val="20"/>
          <w:color w:val="auto"/>
        </w:rPr>
      </w:pPr>
    </w:p>
    <w:p>
      <w:pPr>
        <w:ind w:left="320" w:right="200" w:hanging="317"/>
        <w:spacing w:after="0" w:line="248" w:lineRule="auto"/>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ind w:left="320" w:right="60" w:hanging="317"/>
        <w:spacing w:after="0" w:line="237"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Fixed-rate long-term obligations bear interest rates ranging from 4.0% to 4.3% with a weighted-average interest rate of 4.2%. We project the impact of an increase or decrease in interest rates of 100 basis points would result in a change of fair value of approximately $11,000.</w:t>
      </w:r>
    </w:p>
    <w:p>
      <w:pPr>
        <w:spacing w:after="0" w:line="107"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00" w:lineRule="exact"/>
        <w:rPr>
          <w:sz w:val="20"/>
          <w:szCs w:val="20"/>
          <w:color w:val="auto"/>
        </w:rPr>
      </w:pPr>
    </w:p>
    <w:p>
      <w:pPr>
        <w:ind w:right="240" w:firstLine="259"/>
        <w:spacing w:after="0" w:line="273" w:lineRule="auto"/>
        <w:rPr>
          <w:sz w:val="20"/>
          <w:szCs w:val="20"/>
          <w:color w:val="auto"/>
        </w:rPr>
      </w:pPr>
      <w:r>
        <w:rPr>
          <w:rFonts w:ascii="Arial" w:cs="Arial" w:eastAsia="Arial" w:hAnsi="Arial"/>
          <w:sz w:val="17"/>
          <w:szCs w:val="17"/>
          <w:color w:val="auto"/>
        </w:rPr>
        <w:t>Our Mexican affiliates transact business primarily in Mexican pesos. Funds are transferred by our corporate office to Mexico on a weekly basis to satisfy the domestic cash needs of our Mexican affiliates. We do not currently use derivative instruments to hedge fluctuations in the Mexican peso to U.S. dollar exchange rates. Management does, however, evaluate this opportunity from time to time. Total foreign currency transaction losses for the three and six months ended April 30, 2018, net of gains, was $0.1 million and $0.3 million. Total foreign currency transaction gains for the three and six months ended April 30, 2017, net of losses, was $0.2 million and $0.3 million.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80"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April 30, 2018 that have materially affected, or are reasonably likely to materially affect, the Company’s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From time to time, we are also involved in litigation arising in the ordinary course of our business that we do not believe will have a material adverse impact on our financial statements.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7 in our consolidated financial statements for further information regarding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For a discussion of our risk factors, see Part 1, item 1A “Risk Factors” of our Annual Report on Form 10-K for the year ended October 31, 2017. There have been no material changes from the risk factors set forth in such Annual Report on Form 10-K. However, the risks and uncertainties that we face are not limited to those set forth in the 2017 Form 10-K. Additional risks and uncertainties not presently known to us or that we currently believe to be immaterial may also adversely affect our business and the trading price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left="1360" w:hanging="674"/>
        <w:spacing w:after="0" w:line="227" w:lineRule="auto"/>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15 U.S.C. § 7241, as Adopted Pursuant to Section 302 of the Sarbanes-Oxley Act of 2002.</w:t>
      </w:r>
    </w:p>
    <w:p>
      <w:pPr>
        <w:spacing w:after="0" w:line="66"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15 U.S.C. § 7241, as Adopted Pursuant to Section</w:t>
      </w:r>
    </w:p>
    <w:p>
      <w:pPr>
        <w:ind w:left="1360"/>
        <w:spacing w:after="0"/>
        <w:rPr>
          <w:sz w:val="20"/>
          <w:szCs w:val="20"/>
          <w:color w:val="auto"/>
        </w:rPr>
      </w:pPr>
      <w:r>
        <w:rPr>
          <w:rFonts w:ascii="Arial" w:cs="Arial" w:eastAsia="Arial" w:hAnsi="Arial"/>
          <w:sz w:val="18"/>
          <w:szCs w:val="18"/>
          <w:color w:val="auto"/>
        </w:rPr>
        <w:t>302 of the Sarbanes-Oxley Act of 2002.</w:t>
      </w:r>
    </w:p>
    <w:p>
      <w:pPr>
        <w:spacing w:after="0" w:line="101" w:lineRule="exact"/>
        <w:rPr>
          <w:sz w:val="20"/>
          <w:szCs w:val="20"/>
          <w:color w:val="auto"/>
        </w:rPr>
      </w:pPr>
    </w:p>
    <w:p>
      <w:pPr>
        <w:ind w:left="1360" w:right="300" w:hanging="674"/>
        <w:spacing w:after="0" w:line="227" w:lineRule="auto"/>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Chief Executive Officer and Chief Financial Officer of Periodic Report Pursuant to 18 U.S.C. Section 1350.</w:t>
      </w:r>
    </w:p>
    <w:p>
      <w:pPr>
        <w:spacing w:after="0" w:line="95" w:lineRule="exact"/>
        <w:rPr>
          <w:sz w:val="20"/>
          <w:szCs w:val="20"/>
          <w:color w:val="auto"/>
        </w:rPr>
      </w:pPr>
    </w:p>
    <w:p>
      <w:pPr>
        <w:ind w:left="1360" w:right="60" w:hanging="682"/>
        <w:spacing w:after="0" w:line="197"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financial information from the Quarterly Report on Form 10-Q of Calavo Growers, Inc. for the quarter ended April 30, 2018, formatted in XBRL (eXtensible Business Reporting Language): (1) Consolidated Condensed Balance Sheets as of April 30, 2018 and October 31, 2017; (2) Consolidated Condensed Statements of Income for the three and six months ended April 30, 2018 and 2017; (3) Consolidated Condensed Statements of Comprehensive Income for the three and six months ended April 30, 2018 and 2017; (4) Consolidated Condensed Statements of Cash Flows for the three and six months ended April 30, 2018 and 2017; and (5)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360" w:type="dxa"/>
            <w:vAlign w:val="bottom"/>
            <w:gridSpan w:val="6"/>
          </w:tcPr>
          <w:p>
            <w:pPr>
              <w:ind w:left="98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0" w:type="dxa"/>
            <w:vAlign w:val="bottom"/>
            <w:gridSpan w:val="4"/>
            <w:vMerge w:val="restart"/>
          </w:tcPr>
          <w:p>
            <w:pPr>
              <w:ind w:left="64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1180" w:type="dxa"/>
            <w:vAlign w:val="bottom"/>
            <w:gridSpan w:val="2"/>
          </w:tcPr>
          <w:p>
            <w:pPr>
              <w:spacing w:after="0" w:line="189" w:lineRule="exact"/>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880" w:type="dxa"/>
            <w:vAlign w:val="bottom"/>
            <w:tcBorders>
              <w:top w:val="single" w:sz="8" w:color="auto"/>
            </w:tcBorders>
            <w:gridSpan w:val="7"/>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Certification of Chief Executive Officer Pursuant to 15 U.S.C. § 7241, as Adopted Pursuant to Section 302</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top w:val="single" w:sz="8" w:color="0000EE"/>
              <w:bottom w:val="single" w:sz="8" w:color="0000EE"/>
            </w:tcBorders>
            <w:gridSpan w:val="2"/>
          </w:tcPr>
          <w:p>
            <w:pPr>
              <w:spacing w:after="0" w:line="142" w:lineRule="exact"/>
              <w:rPr>
                <w:rFonts w:ascii="Arial" w:cs="Arial" w:eastAsia="Arial" w:hAnsi="Arial"/>
                <w:sz w:val="16"/>
                <w:szCs w:val="16"/>
                <w:color w:val="0000EE"/>
              </w:rPr>
            </w:pPr>
            <w:hyperlink w:anchor="page33">
              <w:r>
                <w:rPr>
                  <w:rFonts w:ascii="Arial" w:cs="Arial" w:eastAsia="Arial" w:hAnsi="Arial"/>
                  <w:sz w:val="16"/>
                  <w:szCs w:val="16"/>
                  <w:color w:val="0000EE"/>
                </w:rPr>
                <w:t>of the Sarbanes-Oxley Act of 2002.</w:t>
              </w:r>
            </w:hyperlink>
          </w:p>
        </w:tc>
        <w:tc>
          <w:tcPr>
            <w:tcW w:w="5140" w:type="dxa"/>
            <w:vAlign w:val="bottom"/>
            <w:tcBorders>
              <w:top w:val="single" w:sz="8" w:color="0000EE"/>
            </w:tcBorders>
            <w:gridSpan w:val="4"/>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880" w:type="dxa"/>
            <w:vAlign w:val="bottom"/>
            <w:gridSpan w:val="7"/>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of Principal Financial Officer Pursuant to 15 U.S.C. § 7241, as Adopted Pursuant to Section</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tcBorders>
              <w:top w:val="single" w:sz="8" w:color="0000EE"/>
              <w:bottom w:val="single" w:sz="8" w:color="0000EE"/>
            </w:tcBorders>
            <w:gridSpan w:val="3"/>
          </w:tcPr>
          <w:p>
            <w:pPr>
              <w:spacing w:after="0" w:line="142" w:lineRule="exact"/>
              <w:rPr>
                <w:rFonts w:ascii="Arial" w:cs="Arial" w:eastAsia="Arial" w:hAnsi="Arial"/>
                <w:sz w:val="16"/>
                <w:szCs w:val="16"/>
                <w:color w:val="0000EE"/>
              </w:rPr>
            </w:pPr>
            <w:hyperlink w:anchor="page34">
              <w:r>
                <w:rPr>
                  <w:rFonts w:ascii="Arial" w:cs="Arial" w:eastAsia="Arial" w:hAnsi="Arial"/>
                  <w:sz w:val="16"/>
                  <w:szCs w:val="16"/>
                  <w:color w:val="0000EE"/>
                </w:rPr>
                <w:t>302 of the Sarbanes-Oxley Act of 2002.</w:t>
              </w:r>
            </w:hyperlink>
          </w:p>
        </w:tc>
        <w:tc>
          <w:tcPr>
            <w:tcW w:w="4700" w:type="dxa"/>
            <w:vAlign w:val="bottom"/>
            <w:tcBorders>
              <w:top w:val="single" w:sz="8" w:color="0000EE"/>
            </w:tcBorders>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880" w:type="dxa"/>
            <w:vAlign w:val="bottom"/>
            <w:gridSpan w:val="7"/>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Certification by Chief Executive Officer and Chief Financial Officer of Periodic Report Pursuant to 18</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Borders>
              <w:top w:val="single" w:sz="8" w:color="0000EE"/>
              <w:bottom w:val="single" w:sz="8" w:color="0000EE"/>
            </w:tcBorders>
          </w:tcPr>
          <w:p>
            <w:pPr>
              <w:spacing w:after="0" w:line="142" w:lineRule="exact"/>
              <w:rPr>
                <w:rFonts w:ascii="Arial" w:cs="Arial" w:eastAsia="Arial" w:hAnsi="Arial"/>
                <w:sz w:val="16"/>
                <w:szCs w:val="16"/>
                <w:color w:val="0000EE"/>
              </w:rPr>
            </w:pPr>
            <w:hyperlink w:anchor="page35">
              <w:r>
                <w:rPr>
                  <w:rFonts w:ascii="Arial" w:cs="Arial" w:eastAsia="Arial" w:hAnsi="Arial"/>
                  <w:sz w:val="16"/>
                  <w:szCs w:val="16"/>
                  <w:color w:val="0000EE"/>
                </w:rPr>
                <w:t>U.S.C. Section 1350.</w:t>
              </w:r>
            </w:hyperlink>
          </w:p>
        </w:tc>
        <w:tc>
          <w:tcPr>
            <w:tcW w:w="5860" w:type="dxa"/>
            <w:vAlign w:val="bottom"/>
            <w:tcBorders>
              <w:top w:val="single" w:sz="8" w:color="0000EE"/>
            </w:tcBorders>
            <w:gridSpan w:val="3"/>
          </w:tcPr>
          <w:p>
            <w:pPr>
              <w:spacing w:after="0"/>
              <w:rPr>
                <w:sz w:val="12"/>
                <w:szCs w:val="12"/>
                <w:color w:val="auto"/>
              </w:rPr>
            </w:pPr>
          </w:p>
        </w:tc>
        <w:tc>
          <w:tcPr>
            <w:tcW w:w="5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80" w:right="60" w:hanging="1177"/>
        <w:spacing w:after="0" w:line="224"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April 30, 2018, formatted in XBRL (eXtensible Business Reporting Language): (1) Consolidated Condensed Balance Sheets as of April 30, 2018 and October 31, 2017; (2) Consolidated Condensed Statements of Income for the three and six months ended April 30, 2018 and 2017; (3) Consolidated Condensed Statements of Comprehensive Income for the three and six months ended April 30, 2018 and 2017; (4) Consolidated Condensed Statements of Cash Flows for the three and six months ended April 30, 2018 and 2017; and (5) Notes to Unaudited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gridSpan w:val="2"/>
          </w:tcPr>
          <w:p>
            <w:pPr>
              <w:ind w:left="4460"/>
              <w:spacing w:after="0"/>
              <w:rPr>
                <w:sz w:val="20"/>
                <w:szCs w:val="20"/>
                <w:color w:val="auto"/>
              </w:rPr>
            </w:pPr>
            <w:r>
              <w:rPr>
                <w:rFonts w:ascii="Arial" w:cs="Arial" w:eastAsia="Arial" w:hAnsi="Arial"/>
                <w:sz w:val="18"/>
                <w:szCs w:val="18"/>
                <w:color w:val="auto"/>
              </w:rPr>
              <w:t>Calavo Growers, Inc.</w:t>
            </w:r>
          </w:p>
        </w:tc>
      </w:tr>
      <w:tr>
        <w:trPr>
          <w:trHeight w:val="230"/>
        </w:trPr>
        <w:tc>
          <w:tcPr>
            <w:tcW w:w="9060" w:type="dxa"/>
            <w:vAlign w:val="bottom"/>
            <w:gridSpan w:val="2"/>
          </w:tcPr>
          <w:p>
            <w:pPr>
              <w:ind w:left="4460"/>
              <w:spacing w:after="0"/>
              <w:rPr>
                <w:sz w:val="20"/>
                <w:szCs w:val="20"/>
                <w:color w:val="auto"/>
              </w:rPr>
            </w:pPr>
            <w:r>
              <w:rPr>
                <w:rFonts w:ascii="Arial" w:cs="Arial" w:eastAsia="Arial" w:hAnsi="Arial"/>
                <w:sz w:val="18"/>
                <w:szCs w:val="18"/>
                <w:color w:val="auto"/>
              </w:rPr>
              <w:t>(Registrant)</w:t>
            </w:r>
          </w:p>
        </w:tc>
      </w:tr>
      <w:tr>
        <w:trPr>
          <w:trHeight w:val="634"/>
        </w:trPr>
        <w:tc>
          <w:tcPr>
            <w:tcW w:w="4880" w:type="dxa"/>
            <w:vAlign w:val="bottom"/>
          </w:tcPr>
          <w:p>
            <w:pPr>
              <w:spacing w:after="0"/>
              <w:rPr>
                <w:sz w:val="20"/>
                <w:szCs w:val="20"/>
                <w:color w:val="auto"/>
              </w:rPr>
            </w:pPr>
            <w:r>
              <w:rPr>
                <w:rFonts w:ascii="Arial" w:cs="Arial" w:eastAsia="Arial" w:hAnsi="Arial"/>
                <w:sz w:val="18"/>
                <w:szCs w:val="18"/>
                <w:color w:val="auto"/>
              </w:rPr>
              <w:t>Date: June 8, 2018</w:t>
            </w:r>
          </w:p>
        </w:tc>
        <w:tc>
          <w:tcPr>
            <w:tcW w:w="4180" w:type="dxa"/>
            <w:vAlign w:val="bottom"/>
          </w:tcPr>
          <w:p>
            <w:pPr>
              <w:spacing w:after="0"/>
              <w:rPr>
                <w:sz w:val="24"/>
                <w:szCs w:val="24"/>
                <w:color w:val="auto"/>
              </w:rPr>
            </w:pPr>
          </w:p>
        </w:tc>
      </w:tr>
      <w:tr>
        <w:trPr>
          <w:trHeight w:val="230"/>
        </w:trPr>
        <w:tc>
          <w:tcPr>
            <w:tcW w:w="4880" w:type="dxa"/>
            <w:vAlign w:val="bottom"/>
          </w:tcPr>
          <w:p>
            <w:pPr>
              <w:ind w:left="44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r>
      <w:tr>
        <w:trPr>
          <w:trHeight w:val="195"/>
        </w:trPr>
        <w:tc>
          <w:tcPr>
            <w:tcW w:w="488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Chairman of the Board of Directors, President, and</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8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18"/>
        </w:trPr>
        <w:tc>
          <w:tcPr>
            <w:tcW w:w="4880" w:type="dxa"/>
            <w:vAlign w:val="bottom"/>
          </w:tcPr>
          <w:p>
            <w:pPr>
              <w:spacing w:after="0"/>
              <w:rPr>
                <w:sz w:val="20"/>
                <w:szCs w:val="20"/>
                <w:color w:val="auto"/>
              </w:rPr>
            </w:pPr>
            <w:r>
              <w:rPr>
                <w:rFonts w:ascii="Arial" w:cs="Arial" w:eastAsia="Arial" w:hAnsi="Arial"/>
                <w:sz w:val="18"/>
                <w:szCs w:val="18"/>
                <w:color w:val="auto"/>
              </w:rPr>
              <w:t>Date: June 8, 2018</w:t>
            </w:r>
          </w:p>
        </w:tc>
        <w:tc>
          <w:tcPr>
            <w:tcW w:w="4180" w:type="dxa"/>
            <w:vAlign w:val="bottom"/>
          </w:tcPr>
          <w:p>
            <w:pPr>
              <w:spacing w:after="0"/>
              <w:rPr>
                <w:sz w:val="24"/>
                <w:szCs w:val="24"/>
                <w:color w:val="auto"/>
              </w:rPr>
            </w:pPr>
          </w:p>
        </w:tc>
      </w:tr>
      <w:tr>
        <w:trPr>
          <w:trHeight w:val="230"/>
        </w:trPr>
        <w:tc>
          <w:tcPr>
            <w:tcW w:w="4880" w:type="dxa"/>
            <w:vAlign w:val="bottom"/>
          </w:tcPr>
          <w:p>
            <w:pPr>
              <w:ind w:left="44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John Lindeman</w:t>
            </w:r>
          </w:p>
        </w:tc>
      </w:tr>
      <w:tr>
        <w:trPr>
          <w:trHeight w:val="211"/>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 John Lindeman</w:t>
            </w:r>
          </w:p>
        </w:tc>
      </w:tr>
    </w:tbl>
    <w:p>
      <w:pPr>
        <w:ind w:left="4880"/>
        <w:spacing w:after="0"/>
        <w:rPr>
          <w:sz w:val="20"/>
          <w:szCs w:val="20"/>
          <w:color w:val="auto"/>
        </w:rPr>
      </w:pPr>
      <w:r>
        <w:rPr>
          <w:rFonts w:ascii="Arial" w:cs="Arial" w:eastAsia="Arial" w:hAnsi="Arial"/>
          <w:sz w:val="18"/>
          <w:szCs w:val="18"/>
          <w:color w:val="auto"/>
        </w:rPr>
        <w:t>Chief Financial Officer and Corporate Secretary</w:t>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11" w:lineRule="auto"/>
        <w:rPr>
          <w:sz w:val="20"/>
          <w:szCs w:val="20"/>
          <w:color w:val="auto"/>
        </w:rPr>
      </w:pPr>
      <w:r>
        <w:rPr>
          <w:rFonts w:ascii="Arial" w:cs="Arial" w:eastAsia="Arial" w:hAnsi="Arial"/>
          <w:sz w:val="16"/>
          <w:szCs w:val="16"/>
          <w:color w:val="auto"/>
        </w:rPr>
        <w:t>15 U.S.C. § 7241</w:t>
      </w:r>
    </w:p>
    <w:p>
      <w:pPr>
        <w:jc w:val="center"/>
        <w:spacing w:after="0" w:line="211"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 Lecil E. Cole, certify that:</w:t>
      </w:r>
    </w:p>
    <w:p>
      <w:pPr>
        <w:spacing w:after="0" w:line="194" w:lineRule="exact"/>
        <w:rPr>
          <w:sz w:val="20"/>
          <w:szCs w:val="20"/>
          <w:color w:val="auto"/>
        </w:rPr>
      </w:pPr>
    </w:p>
    <w:p>
      <w:pPr>
        <w:ind w:left="660" w:hanging="657"/>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660" w:right="260" w:hanging="657"/>
        <w:spacing w:after="0" w:line="23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660" w:right="320" w:hanging="657"/>
        <w:spacing w:after="0" w:line="23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60" w:hanging="657"/>
        <w:spacing w:after="0" w:line="23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ind w:left="1300" w:right="160" w:hanging="649"/>
        <w:spacing w:after="0" w:line="22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00" w:right="80" w:hanging="649"/>
        <w:spacing w:after="0" w:line="22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9"/>
        <w:spacing w:after="0" w:line="230"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00" w:right="120" w:hanging="649"/>
        <w:spacing w:after="0" w:line="230"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660" w:right="560" w:hanging="657"/>
        <w:spacing w:after="0" w:line="27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00" w:right="360" w:hanging="649"/>
        <w:spacing w:after="0" w:line="230"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00" w:right="240" w:hanging="649"/>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452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June 8, 2018</w:t>
      </w:r>
      <w:r>
        <w:rPr>
          <w:sz w:val="20"/>
          <w:szCs w:val="20"/>
          <w:color w:val="auto"/>
        </w:rPr>
        <w:tab/>
      </w:r>
      <w:r>
        <w:rPr>
          <w:rFonts w:ascii="Arial" w:cs="Arial" w:eastAsia="Arial" w:hAnsi="Arial"/>
          <w:sz w:val="15"/>
          <w:szCs w:val="15"/>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29" w:lineRule="auto"/>
        <w:rPr>
          <w:sz w:val="20"/>
          <w:szCs w:val="20"/>
          <w:color w:val="auto"/>
        </w:rPr>
      </w:pPr>
      <w:r>
        <w:rPr>
          <w:rFonts w:ascii="Arial" w:cs="Arial" w:eastAsia="Arial" w:hAnsi="Arial"/>
          <w:sz w:val="16"/>
          <w:szCs w:val="16"/>
          <w:color w:val="auto"/>
        </w:rPr>
        <w:t>Lecil E. Cole</w:t>
      </w:r>
    </w:p>
    <w:p>
      <w:pPr>
        <w:ind w:left="4540"/>
        <w:spacing w:after="0" w:line="212" w:lineRule="auto"/>
        <w:rPr>
          <w:sz w:val="20"/>
          <w:szCs w:val="20"/>
          <w:color w:val="auto"/>
        </w:rPr>
      </w:pPr>
      <w:r>
        <w:rPr>
          <w:rFonts w:ascii="Arial" w:cs="Arial" w:eastAsia="Arial" w:hAnsi="Arial"/>
          <w:sz w:val="16"/>
          <w:szCs w:val="16"/>
          <w:color w:val="auto"/>
        </w:rPr>
        <w:t>Chairman of the Board of Directors, President</w:t>
      </w:r>
    </w:p>
    <w:p>
      <w:pPr>
        <w:ind w:left="4540"/>
        <w:spacing w:after="0"/>
        <w:rPr>
          <w:sz w:val="20"/>
          <w:szCs w:val="20"/>
          <w:color w:val="auto"/>
        </w:rPr>
      </w:pPr>
      <w:r>
        <w:rPr>
          <w:rFonts w:ascii="Arial" w:cs="Arial" w:eastAsia="Arial" w:hAnsi="Arial"/>
          <w:sz w:val="16"/>
          <w:szCs w:val="16"/>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9" w:right="1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11" w:lineRule="auto"/>
        <w:rPr>
          <w:sz w:val="20"/>
          <w:szCs w:val="20"/>
          <w:color w:val="auto"/>
        </w:rPr>
      </w:pPr>
      <w:r>
        <w:rPr>
          <w:rFonts w:ascii="Arial" w:cs="Arial" w:eastAsia="Arial" w:hAnsi="Arial"/>
          <w:sz w:val="16"/>
          <w:szCs w:val="16"/>
          <w:color w:val="auto"/>
        </w:rPr>
        <w:t>15 U.S.C. § 7241</w:t>
      </w:r>
    </w:p>
    <w:p>
      <w:pPr>
        <w:jc w:val="center"/>
        <w:spacing w:after="0" w:line="211"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 B. John Lindeman, certify that:</w:t>
      </w:r>
    </w:p>
    <w:p>
      <w:pPr>
        <w:spacing w:after="0" w:line="194" w:lineRule="exact"/>
        <w:rPr>
          <w:sz w:val="20"/>
          <w:szCs w:val="20"/>
          <w:color w:val="auto"/>
        </w:rPr>
      </w:pPr>
    </w:p>
    <w:p>
      <w:pPr>
        <w:ind w:left="660" w:hanging="657"/>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660" w:right="260" w:hanging="657"/>
        <w:spacing w:after="0" w:line="230"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660" w:right="320" w:hanging="657"/>
        <w:spacing w:after="0" w:line="230"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60" w:hanging="657"/>
        <w:spacing w:after="0" w:line="230"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ind w:left="1300" w:right="160" w:hanging="649"/>
        <w:spacing w:after="0" w:line="22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00" w:right="80" w:hanging="649"/>
        <w:spacing w:after="0" w:line="22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9"/>
        <w:spacing w:after="0" w:line="230"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00" w:right="120" w:hanging="649"/>
        <w:spacing w:after="0" w:line="230"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660" w:right="560" w:hanging="657"/>
        <w:spacing w:after="0" w:line="272"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00" w:right="360" w:hanging="649"/>
        <w:spacing w:after="0" w:line="230"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00" w:right="240" w:hanging="649"/>
        <w:spacing w:after="0"/>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446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June 8, 2018</w:t>
      </w:r>
      <w:r>
        <w:rPr>
          <w:sz w:val="20"/>
          <w:szCs w:val="20"/>
          <w:color w:val="auto"/>
        </w:rPr>
        <w:tab/>
      </w:r>
      <w:r>
        <w:rPr>
          <w:rFonts w:ascii="Arial" w:cs="Arial" w:eastAsia="Arial" w:hAnsi="Arial"/>
          <w:sz w:val="15"/>
          <w:szCs w:val="15"/>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6350</wp:posOffset>
            </wp:positionV>
            <wp:extent cx="29159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4480"/>
        <w:spacing w:after="0" w:line="229" w:lineRule="auto"/>
        <w:rPr>
          <w:sz w:val="20"/>
          <w:szCs w:val="20"/>
          <w:color w:val="auto"/>
        </w:rPr>
      </w:pPr>
      <w:r>
        <w:rPr>
          <w:rFonts w:ascii="Arial" w:cs="Arial" w:eastAsia="Arial" w:hAnsi="Arial"/>
          <w:sz w:val="16"/>
          <w:szCs w:val="16"/>
          <w:color w:val="auto"/>
        </w:rPr>
        <w:t>B. John Lindeman</w:t>
      </w:r>
    </w:p>
    <w:p>
      <w:pPr>
        <w:ind w:left="4480"/>
        <w:spacing w:after="0" w:line="212" w:lineRule="auto"/>
        <w:rPr>
          <w:sz w:val="20"/>
          <w:szCs w:val="20"/>
          <w:color w:val="auto"/>
        </w:rPr>
      </w:pPr>
      <w:r>
        <w:rPr>
          <w:rFonts w:ascii="Arial" w:cs="Arial" w:eastAsia="Arial" w:hAnsi="Arial"/>
          <w:sz w:val="16"/>
          <w:szCs w:val="16"/>
          <w:color w:val="auto"/>
        </w:rPr>
        <w:t>Chief Financial Officer and Corporate Secretary</w:t>
      </w:r>
    </w:p>
    <w:p>
      <w:pPr>
        <w:ind w:left="448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9"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CHIEF EXECUTIVE OFFICER</w:t>
      </w:r>
    </w:p>
    <w:p>
      <w:pPr>
        <w:jc w:val="center"/>
        <w:spacing w:after="0"/>
        <w:rPr>
          <w:sz w:val="20"/>
          <w:szCs w:val="20"/>
          <w:color w:val="auto"/>
        </w:rPr>
      </w:pPr>
      <w:r>
        <w:rPr>
          <w:rFonts w:ascii="Arial" w:cs="Arial" w:eastAsia="Arial" w:hAnsi="Arial"/>
          <w:sz w:val="18"/>
          <w:szCs w:val="18"/>
          <w:color w:val="auto"/>
        </w:rPr>
        <w:t>AND CHIEF FINANCIAL OFFICER</w:t>
      </w:r>
    </w:p>
    <w:p>
      <w:pPr>
        <w:spacing w:after="0" w:line="12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Each of the undersigned, the Chairman of the Board and Chief Executive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April 30, 2018,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2018</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Lecil E. Cole</w:t>
      </w:r>
    </w:p>
    <w:p>
      <w:pPr>
        <w:spacing w:after="0" w:line="204" w:lineRule="auto"/>
        <w:rPr>
          <w:sz w:val="20"/>
          <w:szCs w:val="20"/>
          <w:color w:val="auto"/>
        </w:rPr>
      </w:pPr>
      <w:r>
        <w:rPr>
          <w:rFonts w:ascii="Arial" w:cs="Arial" w:eastAsia="Arial" w:hAnsi="Arial"/>
          <w:sz w:val="18"/>
          <w:szCs w:val="18"/>
          <w:color w:val="auto"/>
        </w:rPr>
        <w:t>Chairman of the Board, President and</w:t>
      </w:r>
    </w:p>
    <w:p>
      <w:pPr>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 John Lindeman</w:t>
      </w:r>
    </w:p>
    <w:p>
      <w:pPr>
        <w:spacing w:after="0" w:line="204" w:lineRule="auto"/>
        <w:rPr>
          <w:sz w:val="20"/>
          <w:szCs w:val="20"/>
          <w:color w:val="auto"/>
        </w:rPr>
      </w:pPr>
      <w:r>
        <w:rPr>
          <w:rFonts w:ascii="Arial" w:cs="Arial" w:eastAsia="Arial" w:hAnsi="Arial"/>
          <w:sz w:val="18"/>
          <w:szCs w:val="18"/>
          <w:color w:val="auto"/>
        </w:rPr>
        <w:t>Chief Financial Officer and</w:t>
      </w: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570865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6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7"/>
    </w:lvl>
  </w:abstractNum>
  <w:abstractNum w:abstractNumId="3">
    <w:nsid w:val="41B71EFB"/>
    <w:multiLevelType w:val="hybridMultilevel"/>
    <w:lvl w:ilvl="0">
      <w:lvlJc w:val="left"/>
      <w:lvlText w:val="%1"/>
      <w:numFmt w:val="decimal"/>
      <w:start w:val="1"/>
    </w:lvl>
    <w:lvl w:ilvl="1">
      <w:lvlJc w:val="left"/>
      <w:lvlText w:val="(%2)"/>
      <w:numFmt w:val="decimal"/>
      <w:start w:val="1"/>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01"/>
    </w:lvl>
  </w:abstractNum>
  <w:abstractNum w:abstractNumId="7">
    <w:nsid w:val="5BD062C2"/>
    <w:multiLevelType w:val="hybridMultilevel"/>
    <w:lvl w:ilvl="0">
      <w:lvlJc w:val="left"/>
      <w:lvlText w:val="%1"/>
      <w:numFmt w:val="decimal"/>
      <w:start w:val="10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2020-01-15T16:35:08Z</dcterms:created>
  <dcterms:modified xsi:type="dcterms:W3CDTF">2020-01-15T16:35:08Z</dcterms:modified>
</cp:coreProperties>
</file>